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91" w:rsidRPr="00264D99" w:rsidRDefault="00935491" w:rsidP="00935491">
      <w:pPr>
        <w:spacing w:after="120" w:line="276" w:lineRule="auto"/>
        <w:jc w:val="right"/>
        <w:rPr>
          <w:rFonts w:ascii="Arial" w:eastAsia="Calibri" w:hAnsi="Arial" w:cs="Arial"/>
          <w:sz w:val="20"/>
          <w:szCs w:val="20"/>
        </w:rPr>
      </w:pPr>
      <w:r w:rsidRPr="00402AB8">
        <w:rPr>
          <w:rFonts w:ascii="Arial" w:eastAsia="Calibri" w:hAnsi="Arial" w:cs="Arial"/>
          <w:color w:val="0000FF"/>
          <w:sz w:val="20"/>
          <w:szCs w:val="20"/>
          <w:u w:val="single"/>
        </w:rPr>
        <w:t>TOP_PLUSZ-3.1.1-21-NG1-2022-00001</w:t>
      </w:r>
    </w:p>
    <w:p w:rsidR="00592976" w:rsidRDefault="00592976" w:rsidP="0059297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592976" w:rsidRPr="00592976" w:rsidRDefault="00592976" w:rsidP="0059297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92976">
        <w:rPr>
          <w:rFonts w:ascii="Arial" w:eastAsia="Calibri" w:hAnsi="Arial" w:cs="Arial"/>
          <w:b/>
          <w:sz w:val="20"/>
          <w:szCs w:val="20"/>
        </w:rPr>
        <w:t>TÁJÉKOZTATÓ</w:t>
      </w:r>
    </w:p>
    <w:p w:rsidR="00592976" w:rsidRPr="00592976" w:rsidRDefault="00592976" w:rsidP="0059297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proofErr w:type="gramStart"/>
      <w:r w:rsidRPr="00592976">
        <w:rPr>
          <w:rFonts w:ascii="Arial" w:eastAsia="Calibri" w:hAnsi="Arial" w:cs="Arial"/>
          <w:b/>
          <w:sz w:val="20"/>
          <w:szCs w:val="20"/>
        </w:rPr>
        <w:t>a</w:t>
      </w:r>
      <w:proofErr w:type="gramEnd"/>
      <w:r w:rsidRPr="00592976">
        <w:rPr>
          <w:rFonts w:ascii="Arial" w:eastAsia="Calibri" w:hAnsi="Arial" w:cs="Arial"/>
          <w:b/>
          <w:sz w:val="20"/>
          <w:szCs w:val="20"/>
        </w:rPr>
        <w:t xml:space="preserve"> </w:t>
      </w:r>
      <w:bookmarkStart w:id="0" w:name="nehéz1"/>
      <w:r w:rsidRPr="00592976">
        <w:rPr>
          <w:rFonts w:ascii="Arial" w:eastAsia="Calibri" w:hAnsi="Arial" w:cs="Arial"/>
          <w:b/>
          <w:sz w:val="20"/>
          <w:szCs w:val="20"/>
        </w:rPr>
        <w:t>„nehéz helyzetben lévő vállalkozás</w:t>
      </w:r>
      <w:bookmarkEnd w:id="0"/>
      <w:r w:rsidRPr="00592976">
        <w:rPr>
          <w:rFonts w:ascii="Arial" w:eastAsia="Calibri" w:hAnsi="Arial" w:cs="Arial"/>
          <w:b/>
          <w:sz w:val="20"/>
          <w:szCs w:val="20"/>
        </w:rPr>
        <w:t>” fogalmának meghatározásáról</w:t>
      </w:r>
    </w:p>
    <w:p w:rsidR="00592976" w:rsidRPr="00592976" w:rsidRDefault="00592976" w:rsidP="0059297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92976">
        <w:rPr>
          <w:rFonts w:ascii="Arial" w:eastAsia="Calibri" w:hAnsi="Arial" w:cs="Arial"/>
          <w:sz w:val="20"/>
          <w:szCs w:val="20"/>
        </w:rPr>
        <w:t>1. Nagyvállalkozásra vonatkozó szabályok</w:t>
      </w:r>
    </w:p>
    <w:p w:rsidR="00592976" w:rsidRPr="00592976" w:rsidRDefault="00592976" w:rsidP="0059297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92976">
        <w:rPr>
          <w:rFonts w:ascii="Arial" w:eastAsia="Calibri" w:hAnsi="Arial" w:cs="Arial"/>
          <w:sz w:val="20"/>
          <w:szCs w:val="20"/>
        </w:rPr>
        <w:t>Az európai uniós versenyjogi értelemben vett állami támogatásokkal kapcsolatos eljárásról és a regionális támogatási térképről szóló 37/2011. (III. 22.) Korm. rendelet 6. § (1) bekezdése szerint: ha uniós állami támogatási szabály másként nem rendelkezik, nehéz helyzetben lévő vállalkozás nem részesülhet állami támogatásban.</w:t>
      </w:r>
    </w:p>
    <w:p w:rsidR="00592976" w:rsidRPr="00592976" w:rsidRDefault="00592976" w:rsidP="0059297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592976" w:rsidRPr="00592976" w:rsidRDefault="00592976" w:rsidP="0059297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92976">
        <w:rPr>
          <w:rFonts w:ascii="Arial" w:eastAsia="Calibri" w:hAnsi="Arial" w:cs="Arial"/>
          <w:sz w:val="20"/>
          <w:szCs w:val="20"/>
        </w:rPr>
        <w:t>Egy vállalkozás akkor tekinthető nehéz helyzetben lévőnek, ha valamely hatóság beavatkozása nélkül rövid- vagy középtávon feladná üzleti tevékenységét.</w:t>
      </w:r>
    </w:p>
    <w:p w:rsidR="00592976" w:rsidRPr="00592976" w:rsidRDefault="00592976" w:rsidP="0059297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92976">
        <w:rPr>
          <w:rFonts w:ascii="Arial" w:eastAsia="Calibri" w:hAnsi="Arial" w:cs="Arial"/>
          <w:sz w:val="20"/>
          <w:szCs w:val="20"/>
        </w:rPr>
        <w:t xml:space="preserve">A fenti Korm. rendelet 6. §. (7) bekezdésének értelmében </w:t>
      </w:r>
      <w:r w:rsidRPr="00592976">
        <w:rPr>
          <w:rFonts w:ascii="Arial" w:eastAsia="Calibri" w:hAnsi="Arial" w:cs="Arial"/>
          <w:b/>
          <w:sz w:val="20"/>
          <w:szCs w:val="20"/>
        </w:rPr>
        <w:t>valamely vállalkozás akkor</w:t>
      </w:r>
      <w:r w:rsidRPr="00592976">
        <w:rPr>
          <w:rFonts w:ascii="Arial" w:eastAsia="Calibri" w:hAnsi="Arial" w:cs="Arial"/>
          <w:sz w:val="20"/>
          <w:szCs w:val="20"/>
        </w:rPr>
        <w:t xml:space="preserve"> minősül nehéz helyzetben lévőnek, ha a következő feltételek közül legalább egy teljesül: </w:t>
      </w:r>
    </w:p>
    <w:p w:rsidR="00592976" w:rsidRPr="00592976" w:rsidRDefault="00592976" w:rsidP="00592976">
      <w:pPr>
        <w:spacing w:after="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592976">
        <w:rPr>
          <w:rFonts w:ascii="Arial" w:eastAsia="Calibri" w:hAnsi="Arial" w:cs="Arial"/>
          <w:sz w:val="20"/>
          <w:szCs w:val="20"/>
        </w:rPr>
        <w:t>a</w:t>
      </w:r>
      <w:proofErr w:type="gramEnd"/>
      <w:r w:rsidRPr="00592976">
        <w:rPr>
          <w:rFonts w:ascii="Arial" w:eastAsia="Calibri" w:hAnsi="Arial" w:cs="Arial"/>
          <w:sz w:val="20"/>
          <w:szCs w:val="20"/>
        </w:rPr>
        <w:t>) olyan társaság esetén, ahol a tagok felelőssége a társaság tartozásai tekintetében korlátozott, így különösen a részvénytársaság és a korlátolt felelősségű társaság esetében, ha a vállalkozás névértéken felüli befizetést is magában foglaló jegyzett tőkéjének több mint a felét felhalmozott veszteségei miatt elvesztette, különösen amennyiben a felhalmozott veszteségeknek saját forrásnak minősülő elemből történő levonásakor a jegyzett tőke felét meghaladó negatív eredmény keletkezik,</w:t>
      </w:r>
    </w:p>
    <w:p w:rsidR="00592976" w:rsidRPr="00592976" w:rsidRDefault="00592976" w:rsidP="00592976">
      <w:pPr>
        <w:spacing w:after="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592976">
        <w:rPr>
          <w:rFonts w:ascii="Arial" w:eastAsia="Calibri" w:hAnsi="Arial" w:cs="Arial"/>
          <w:sz w:val="20"/>
          <w:szCs w:val="20"/>
        </w:rPr>
        <w:t>b) olyan társaság esetén, ahol legalább egyes tagok korlátlan felelősséggel bírnak a társaság tartozásai tekintetében, így különösen a közkereseti társaság, betéti társaság, közös vállalat, egyesülés és egyéni cég esetében, amennyiben a vállalkozás a saját tőkéjének több mint felét felhalmozott veszteségei miatt elvesztette,</w:t>
      </w:r>
    </w:p>
    <w:p w:rsidR="00592976" w:rsidRPr="00592976" w:rsidRDefault="00592976" w:rsidP="00592976">
      <w:pPr>
        <w:spacing w:after="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592976">
        <w:rPr>
          <w:rFonts w:ascii="Arial" w:eastAsia="Calibri" w:hAnsi="Arial" w:cs="Arial"/>
          <w:sz w:val="20"/>
          <w:szCs w:val="20"/>
        </w:rPr>
        <w:t>c) olyan vállalkozás, amely ellen a fizetésképtelenségi eljárásról szóló uniós rendelet szerinti fizetésképtelenségi eljárás indult, vagy ellene hitelezői kérelmére a saját joga alapján ilyen fizetésképtelenségi eljárás indítható,</w:t>
      </w:r>
    </w:p>
    <w:p w:rsidR="00592976" w:rsidRPr="00592976" w:rsidRDefault="00592976" w:rsidP="00592976">
      <w:pPr>
        <w:spacing w:after="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592976">
        <w:rPr>
          <w:rFonts w:ascii="Arial" w:eastAsia="Calibri" w:hAnsi="Arial" w:cs="Arial"/>
          <w:sz w:val="20"/>
          <w:szCs w:val="20"/>
        </w:rPr>
        <w:t>d) kis- és középvállalkozások kivételével olyan vállalkozás, amely esetében az előző két évben a könyv szerinti idegen tőke és saját tőke aránya meghaladta a 7,5-et és a kamatok, adózás és értékcsökkenési leírás előtti eredménnyel számolt kamatfedezeti ráta kevesebb volt 1,0-nél.</w:t>
      </w:r>
    </w:p>
    <w:p w:rsidR="00592976" w:rsidRPr="00592976" w:rsidRDefault="00592976" w:rsidP="0059297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592976" w:rsidRPr="00592976" w:rsidRDefault="00592976" w:rsidP="0059297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92976">
        <w:rPr>
          <w:rFonts w:ascii="Arial" w:eastAsia="Calibri" w:hAnsi="Arial" w:cs="Arial"/>
          <w:sz w:val="20"/>
          <w:szCs w:val="20"/>
        </w:rPr>
        <w:t>Valamely vállalkozás az előző bekezdésben meghatározott feltételek hiányában különösen olyan esetekben is nehéz helyzetben lévőnek tekintendő, ha veszteségei nőnek, forgalma csökken, leltári készletei felhalmozódnak, fölös kapacitása megemelkedik, megrendelés-állománya jelentős mértékben csökken, pénzforgalma csökken, adóssága nő, a nettó eszközérték leírása csökken, vagy teljesen leírásra kerül.</w:t>
      </w:r>
    </w:p>
    <w:p w:rsidR="00592976" w:rsidRPr="00592976" w:rsidRDefault="00592976" w:rsidP="0059297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592976" w:rsidRPr="00592976" w:rsidRDefault="00592976" w:rsidP="0059297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592976">
        <w:rPr>
          <w:rFonts w:ascii="Arial" w:eastAsia="Calibri" w:hAnsi="Arial" w:cs="Arial"/>
          <w:b/>
          <w:sz w:val="20"/>
          <w:szCs w:val="20"/>
        </w:rPr>
        <w:t>2. Mikro-, kis- és középvállalkozásra vonatkozó szabályok</w:t>
      </w:r>
    </w:p>
    <w:p w:rsidR="00592976" w:rsidRPr="00592976" w:rsidRDefault="00592976" w:rsidP="00592976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92976">
        <w:rPr>
          <w:rFonts w:ascii="Arial" w:eastAsia="Calibri" w:hAnsi="Arial" w:cs="Arial"/>
          <w:sz w:val="20"/>
          <w:szCs w:val="20"/>
        </w:rPr>
        <w:t>A kis- és középvállalkozásokról, fejlődésük támogatásáról szóló 2004. évi XXXIV. törvény 3. §-a szerint KKV-nak minősül az a vállalkozás, amelynek:</w:t>
      </w:r>
    </w:p>
    <w:p w:rsidR="00592976" w:rsidRPr="00592976" w:rsidRDefault="00592976" w:rsidP="00592976">
      <w:pPr>
        <w:numPr>
          <w:ilvl w:val="1"/>
          <w:numId w:val="8"/>
        </w:numPr>
        <w:tabs>
          <w:tab w:val="num" w:pos="567"/>
        </w:tabs>
        <w:spacing w:after="0" w:line="276" w:lineRule="auto"/>
        <w:ind w:left="567"/>
        <w:jc w:val="both"/>
        <w:rPr>
          <w:rFonts w:ascii="Arial" w:eastAsia="Calibri" w:hAnsi="Arial" w:cs="Arial"/>
          <w:sz w:val="20"/>
          <w:szCs w:val="20"/>
        </w:rPr>
      </w:pPr>
      <w:r w:rsidRPr="00592976">
        <w:rPr>
          <w:rFonts w:ascii="Arial" w:eastAsia="Calibri" w:hAnsi="Arial" w:cs="Arial"/>
          <w:sz w:val="20"/>
          <w:szCs w:val="20"/>
        </w:rPr>
        <w:t>összes foglalkoztatotti létszáma 250 főnél kevesebb, és</w:t>
      </w:r>
    </w:p>
    <w:p w:rsidR="00592976" w:rsidRPr="00592976" w:rsidRDefault="00592976" w:rsidP="00592976">
      <w:pPr>
        <w:numPr>
          <w:ilvl w:val="1"/>
          <w:numId w:val="8"/>
        </w:numPr>
        <w:tabs>
          <w:tab w:val="num" w:pos="567"/>
        </w:tabs>
        <w:spacing w:after="0" w:line="276" w:lineRule="auto"/>
        <w:ind w:left="567"/>
        <w:jc w:val="both"/>
        <w:rPr>
          <w:rFonts w:ascii="Arial" w:eastAsia="Calibri" w:hAnsi="Arial" w:cs="Arial"/>
          <w:sz w:val="20"/>
          <w:szCs w:val="20"/>
        </w:rPr>
      </w:pPr>
      <w:r w:rsidRPr="00592976">
        <w:rPr>
          <w:rFonts w:ascii="Arial" w:eastAsia="Calibri" w:hAnsi="Arial" w:cs="Arial"/>
          <w:sz w:val="20"/>
          <w:szCs w:val="20"/>
        </w:rPr>
        <w:t>éves nettó árbevétele legfeljebb 50 millió eurónak megfelelő forintösszeg, vagy mérlegfőösszege legfeljebb 43 millió eurónak megfelelő forintösszeg. (középvállalkozás)</w:t>
      </w:r>
    </w:p>
    <w:p w:rsidR="00592976" w:rsidRPr="00592976" w:rsidRDefault="00592976" w:rsidP="00592976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92976">
        <w:rPr>
          <w:rFonts w:ascii="Arial" w:eastAsia="Calibri" w:hAnsi="Arial" w:cs="Arial"/>
          <w:sz w:val="20"/>
          <w:szCs w:val="20"/>
        </w:rPr>
        <w:t>A KKV kategórián belül kisvállalkozásnak minősül az a vállalkozás, amelynek:</w:t>
      </w:r>
    </w:p>
    <w:p w:rsidR="00592976" w:rsidRPr="00592976" w:rsidRDefault="00592976" w:rsidP="00592976">
      <w:pPr>
        <w:numPr>
          <w:ilvl w:val="2"/>
          <w:numId w:val="10"/>
        </w:numPr>
        <w:tabs>
          <w:tab w:val="num" w:pos="567"/>
        </w:tabs>
        <w:spacing w:after="0" w:line="276" w:lineRule="auto"/>
        <w:ind w:left="567"/>
        <w:jc w:val="both"/>
        <w:rPr>
          <w:rFonts w:ascii="Arial" w:eastAsia="Calibri" w:hAnsi="Arial" w:cs="Arial"/>
          <w:sz w:val="20"/>
          <w:szCs w:val="20"/>
        </w:rPr>
      </w:pPr>
      <w:r w:rsidRPr="00592976">
        <w:rPr>
          <w:rFonts w:ascii="Arial" w:eastAsia="Calibri" w:hAnsi="Arial" w:cs="Arial"/>
          <w:sz w:val="20"/>
          <w:szCs w:val="20"/>
        </w:rPr>
        <w:t>összes foglalkoztatotti létszáma 50 főnél kevesebb, és</w:t>
      </w:r>
    </w:p>
    <w:p w:rsidR="00592976" w:rsidRPr="00592976" w:rsidRDefault="00592976" w:rsidP="00592976">
      <w:pPr>
        <w:numPr>
          <w:ilvl w:val="2"/>
          <w:numId w:val="10"/>
        </w:numPr>
        <w:tabs>
          <w:tab w:val="num" w:pos="567"/>
        </w:tabs>
        <w:spacing w:after="0" w:line="276" w:lineRule="auto"/>
        <w:ind w:left="567"/>
        <w:jc w:val="both"/>
        <w:rPr>
          <w:rFonts w:ascii="Arial" w:eastAsia="Calibri" w:hAnsi="Arial" w:cs="Arial"/>
          <w:sz w:val="20"/>
          <w:szCs w:val="20"/>
        </w:rPr>
      </w:pPr>
      <w:r w:rsidRPr="00592976">
        <w:rPr>
          <w:rFonts w:ascii="Arial" w:eastAsia="Calibri" w:hAnsi="Arial" w:cs="Arial"/>
          <w:sz w:val="20"/>
          <w:szCs w:val="20"/>
        </w:rPr>
        <w:t>éves nettó árbevétele vagy mérlegfőösszege legfeljebb 10 millió eurónak megfelelő forintösszeg.</w:t>
      </w:r>
    </w:p>
    <w:p w:rsidR="003D70A5" w:rsidRDefault="003D70A5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 w:type="page"/>
      </w:r>
    </w:p>
    <w:p w:rsidR="00592976" w:rsidRPr="00592976" w:rsidRDefault="00592976" w:rsidP="00592976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92976">
        <w:rPr>
          <w:rFonts w:ascii="Arial" w:eastAsia="Calibri" w:hAnsi="Arial" w:cs="Arial"/>
          <w:sz w:val="20"/>
          <w:szCs w:val="20"/>
        </w:rPr>
        <w:lastRenderedPageBreak/>
        <w:t xml:space="preserve">A KKV kategórián belül </w:t>
      </w:r>
      <w:proofErr w:type="spellStart"/>
      <w:r w:rsidRPr="00592976">
        <w:rPr>
          <w:rFonts w:ascii="Arial" w:eastAsia="Calibri" w:hAnsi="Arial" w:cs="Arial"/>
          <w:sz w:val="20"/>
          <w:szCs w:val="20"/>
        </w:rPr>
        <w:t>mikrovállalkozásnak</w:t>
      </w:r>
      <w:proofErr w:type="spellEnd"/>
      <w:r w:rsidRPr="00592976">
        <w:rPr>
          <w:rFonts w:ascii="Arial" w:eastAsia="Calibri" w:hAnsi="Arial" w:cs="Arial"/>
          <w:sz w:val="20"/>
          <w:szCs w:val="20"/>
        </w:rPr>
        <w:t xml:space="preserve"> minősül az a vállalkozás, amelynek:</w:t>
      </w:r>
    </w:p>
    <w:p w:rsidR="00592976" w:rsidRPr="00592976" w:rsidRDefault="00592976" w:rsidP="00592976">
      <w:pPr>
        <w:numPr>
          <w:ilvl w:val="1"/>
          <w:numId w:val="9"/>
        </w:numPr>
        <w:tabs>
          <w:tab w:val="num" w:pos="567"/>
        </w:tabs>
        <w:spacing w:after="0" w:line="276" w:lineRule="auto"/>
        <w:ind w:left="567"/>
        <w:jc w:val="both"/>
        <w:rPr>
          <w:rFonts w:ascii="Arial" w:eastAsia="Calibri" w:hAnsi="Arial" w:cs="Arial"/>
          <w:sz w:val="20"/>
          <w:szCs w:val="20"/>
        </w:rPr>
      </w:pPr>
      <w:r w:rsidRPr="00592976">
        <w:rPr>
          <w:rFonts w:ascii="Arial" w:eastAsia="Calibri" w:hAnsi="Arial" w:cs="Arial"/>
          <w:sz w:val="20"/>
          <w:szCs w:val="20"/>
        </w:rPr>
        <w:t>összes foglalkoztatotti létszáma 10 főnél kevesebb, és</w:t>
      </w:r>
    </w:p>
    <w:p w:rsidR="00592976" w:rsidRPr="00592976" w:rsidRDefault="00592976" w:rsidP="00592976">
      <w:pPr>
        <w:numPr>
          <w:ilvl w:val="1"/>
          <w:numId w:val="9"/>
        </w:numPr>
        <w:tabs>
          <w:tab w:val="num" w:pos="567"/>
        </w:tabs>
        <w:spacing w:after="0" w:line="276" w:lineRule="auto"/>
        <w:ind w:left="567"/>
        <w:jc w:val="both"/>
        <w:rPr>
          <w:rFonts w:ascii="Arial" w:eastAsia="Calibri" w:hAnsi="Arial" w:cs="Arial"/>
          <w:sz w:val="20"/>
          <w:szCs w:val="20"/>
        </w:rPr>
      </w:pPr>
      <w:r w:rsidRPr="00592976">
        <w:rPr>
          <w:rFonts w:ascii="Arial" w:eastAsia="Calibri" w:hAnsi="Arial" w:cs="Arial"/>
          <w:sz w:val="20"/>
          <w:szCs w:val="20"/>
        </w:rPr>
        <w:t>éves nettó árbevétele vagy mérlegfőösszege legfeljebb 2 millió eurónak megfelelő forintösszeg.</w:t>
      </w:r>
    </w:p>
    <w:p w:rsidR="00592976" w:rsidRPr="00592976" w:rsidRDefault="00592976" w:rsidP="00592976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592976" w:rsidRPr="00592976" w:rsidRDefault="00592976" w:rsidP="00592976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92976">
        <w:rPr>
          <w:rFonts w:ascii="Arial" w:eastAsia="Calibri" w:hAnsi="Arial" w:cs="Arial"/>
          <w:sz w:val="20"/>
          <w:szCs w:val="20"/>
        </w:rPr>
        <w:t>Nem minősül KKV-</w:t>
      </w:r>
      <w:proofErr w:type="spellStart"/>
      <w:r w:rsidRPr="00592976">
        <w:rPr>
          <w:rFonts w:ascii="Arial" w:eastAsia="Calibri" w:hAnsi="Arial" w:cs="Arial"/>
          <w:sz w:val="20"/>
          <w:szCs w:val="20"/>
        </w:rPr>
        <w:t>nek</w:t>
      </w:r>
      <w:proofErr w:type="spellEnd"/>
      <w:r w:rsidRPr="00592976">
        <w:rPr>
          <w:rFonts w:ascii="Arial" w:eastAsia="Calibri" w:hAnsi="Arial" w:cs="Arial"/>
          <w:sz w:val="20"/>
          <w:szCs w:val="20"/>
        </w:rPr>
        <w:t xml:space="preserve"> az a vállalkozás, amelyben az állam vagy az önkormányzat közvetlen vagy közvetett tulajdoni részesedése (tőke vagy szavazati joga alapján) külön-külön vagy együttesen meghaladja a 25%-</w:t>
      </w:r>
      <w:proofErr w:type="spellStart"/>
      <w:r w:rsidRPr="00592976">
        <w:rPr>
          <w:rFonts w:ascii="Arial" w:eastAsia="Calibri" w:hAnsi="Arial" w:cs="Arial"/>
          <w:sz w:val="20"/>
          <w:szCs w:val="20"/>
        </w:rPr>
        <w:t>ot</w:t>
      </w:r>
      <w:proofErr w:type="spellEnd"/>
      <w:r w:rsidRPr="00592976">
        <w:rPr>
          <w:rFonts w:ascii="Arial" w:eastAsia="Calibri" w:hAnsi="Arial" w:cs="Arial"/>
          <w:sz w:val="20"/>
          <w:szCs w:val="20"/>
        </w:rPr>
        <w:t>.</w:t>
      </w:r>
    </w:p>
    <w:p w:rsidR="00592976" w:rsidRPr="00592976" w:rsidRDefault="00592976" w:rsidP="0059297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592976" w:rsidRPr="00592976" w:rsidRDefault="00592976" w:rsidP="0059297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bookmarkStart w:id="1" w:name="_GoBack"/>
      <w:bookmarkEnd w:id="1"/>
      <w:r w:rsidRPr="00592976">
        <w:rPr>
          <w:rFonts w:ascii="Arial" w:eastAsia="Calibri" w:hAnsi="Arial" w:cs="Arial"/>
          <w:sz w:val="20"/>
          <w:szCs w:val="20"/>
        </w:rPr>
        <w:tab/>
      </w:r>
      <w:r w:rsidRPr="00592976">
        <w:rPr>
          <w:rFonts w:ascii="Arial" w:eastAsia="Calibri" w:hAnsi="Arial" w:cs="Arial"/>
          <w:sz w:val="20"/>
          <w:szCs w:val="20"/>
        </w:rPr>
        <w:tab/>
      </w:r>
      <w:r w:rsidRPr="00592976">
        <w:rPr>
          <w:rFonts w:ascii="Arial" w:eastAsia="Calibri" w:hAnsi="Arial" w:cs="Arial"/>
          <w:sz w:val="20"/>
          <w:szCs w:val="20"/>
        </w:rPr>
        <w:tab/>
      </w:r>
      <w:r w:rsidRPr="00592976">
        <w:rPr>
          <w:rFonts w:ascii="Arial" w:eastAsia="Calibri" w:hAnsi="Arial" w:cs="Arial"/>
          <w:sz w:val="20"/>
          <w:szCs w:val="20"/>
        </w:rPr>
        <w:tab/>
      </w:r>
    </w:p>
    <w:sectPr w:rsidR="00592976" w:rsidRPr="00592976" w:rsidSect="00310400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400" w:rsidRDefault="00310400" w:rsidP="00310400">
      <w:pPr>
        <w:spacing w:after="0" w:line="240" w:lineRule="auto"/>
      </w:pPr>
      <w:r>
        <w:separator/>
      </w:r>
    </w:p>
  </w:endnote>
  <w:endnote w:type="continuationSeparator" w:id="0">
    <w:p w:rsidR="00310400" w:rsidRDefault="00310400" w:rsidP="0031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400" w:rsidRPr="00310400" w:rsidRDefault="000D6624" w:rsidP="00310400">
    <w:pPr>
      <w:pBdr>
        <w:between w:val="single" w:sz="2" w:space="1" w:color="auto"/>
      </w:pBdr>
      <w:autoSpaceDE w:val="0"/>
      <w:autoSpaceDN w:val="0"/>
      <w:adjustRightInd w:val="0"/>
      <w:spacing w:after="200" w:line="200" w:lineRule="atLeast"/>
      <w:ind w:right="3116"/>
      <w:textAlignment w:val="center"/>
      <w:rPr>
        <w:rFonts w:ascii="Arial" w:eastAsia="Calibri" w:hAnsi="Arial" w:cs="Arial"/>
        <w:i/>
        <w:color w:val="000000"/>
        <w:spacing w:val="2"/>
        <w:sz w:val="20"/>
        <w:szCs w:val="20"/>
      </w:rPr>
    </w:pPr>
    <w:r w:rsidRPr="000D6624">
      <w:rPr>
        <w:rFonts w:ascii="Arial" w:eastAsia="Calibri" w:hAnsi="Arial" w:cs="Arial"/>
        <w:b/>
        <w:i/>
        <w:noProof/>
        <w:sz w:val="20"/>
        <w:szCs w:val="20"/>
        <w:highlight w:val="yellow"/>
        <w:lang w:eastAsia="hu-HU"/>
      </w:rPr>
      <w:drawing>
        <wp:anchor distT="0" distB="0" distL="114300" distR="114300" simplePos="0" relativeHeight="251659264" behindDoc="1" locked="0" layoutInCell="1" allowOverlap="1" wp14:anchorId="0E787359" wp14:editId="3DEDC8CA">
          <wp:simplePos x="0" y="0"/>
          <wp:positionH relativeFrom="page">
            <wp:posOffset>3482060</wp:posOffset>
          </wp:positionH>
          <wp:positionV relativeFrom="page">
            <wp:posOffset>9491294</wp:posOffset>
          </wp:positionV>
          <wp:extent cx="4168202" cy="1362075"/>
          <wp:effectExtent l="0" t="0" r="3810" b="0"/>
          <wp:wrapTight wrapText="bothSides">
            <wp:wrapPolygon edited="0">
              <wp:start x="0" y="0"/>
              <wp:lineTo x="0" y="21147"/>
              <wp:lineTo x="21521" y="21147"/>
              <wp:lineTo x="21521" y="0"/>
              <wp:lineTo x="0" y="0"/>
            </wp:wrapPolygon>
          </wp:wrapTight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8202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0400" w:rsidRPr="00310400">
      <w:rPr>
        <w:rFonts w:ascii="Arial" w:eastAsia="Calibri" w:hAnsi="Arial" w:cs="Arial"/>
        <w:i/>
        <w:color w:val="000000"/>
        <w:spacing w:val="2"/>
        <w:sz w:val="20"/>
        <w:szCs w:val="20"/>
        <w:highlight w:val="lightGray"/>
      </w:rPr>
      <w:t xml:space="preserve">(hivatali </w:t>
    </w:r>
    <w:r w:rsidR="004F79A4">
      <w:rPr>
        <w:rFonts w:ascii="Arial" w:eastAsia="Calibri" w:hAnsi="Arial" w:cs="Arial"/>
        <w:i/>
        <w:color w:val="000000"/>
        <w:spacing w:val="2"/>
        <w:sz w:val="20"/>
        <w:szCs w:val="20"/>
        <w:highlight w:val="lightGray"/>
      </w:rPr>
      <w:t>lábléc</w:t>
    </w:r>
    <w:r w:rsidR="00310400" w:rsidRPr="00310400">
      <w:rPr>
        <w:rFonts w:ascii="Arial" w:eastAsia="Calibri" w:hAnsi="Arial" w:cs="Arial"/>
        <w:i/>
        <w:color w:val="000000"/>
        <w:spacing w:val="2"/>
        <w:sz w:val="20"/>
        <w:szCs w:val="20"/>
        <w:highlight w:val="lightGray"/>
      </w:rPr>
      <w:t>)</w:t>
    </w:r>
    <w:r w:rsidRPr="000D6624">
      <w:rPr>
        <w:rFonts w:ascii="Arial" w:eastAsia="Calibri" w:hAnsi="Arial" w:cs="Arial"/>
        <w:b/>
        <w:i/>
        <w:noProof/>
        <w:sz w:val="20"/>
        <w:szCs w:val="20"/>
        <w:highlight w:val="yellow"/>
        <w:lang w:eastAsia="hu-HU"/>
      </w:rPr>
      <w:t xml:space="preserve"> </w:t>
    </w:r>
  </w:p>
  <w:p w:rsidR="00310400" w:rsidRDefault="003104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400" w:rsidRDefault="00310400" w:rsidP="00310400">
      <w:pPr>
        <w:spacing w:after="0" w:line="240" w:lineRule="auto"/>
      </w:pPr>
      <w:r>
        <w:separator/>
      </w:r>
    </w:p>
  </w:footnote>
  <w:footnote w:type="continuationSeparator" w:id="0">
    <w:p w:rsidR="00310400" w:rsidRDefault="00310400" w:rsidP="00310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976" w:rsidRPr="00592976" w:rsidRDefault="00310400" w:rsidP="00592976">
    <w:pPr>
      <w:spacing w:after="0" w:line="240" w:lineRule="auto"/>
      <w:jc w:val="center"/>
      <w:rPr>
        <w:rFonts w:ascii="Arial" w:eastAsia="Calibri" w:hAnsi="Arial" w:cs="Arial"/>
        <w:color w:val="0000FF"/>
        <w:sz w:val="20"/>
        <w:szCs w:val="20"/>
        <w:u w:val="single"/>
      </w:rPr>
    </w:pPr>
    <w:r w:rsidRPr="00B0010A">
      <w:rPr>
        <w:rFonts w:ascii="Arial" w:hAnsi="Arial" w:cs="Arial"/>
        <w:i/>
        <w:sz w:val="20"/>
        <w:szCs w:val="20"/>
        <w:highlight w:val="lightGray"/>
      </w:rPr>
      <w:t>(hivatali fejléc)</w:t>
    </w:r>
    <w:r w:rsidR="00592976">
      <w:rPr>
        <w:rFonts w:ascii="Arial" w:hAnsi="Arial" w:cs="Arial"/>
        <w:i/>
        <w:sz w:val="20"/>
        <w:szCs w:val="20"/>
      </w:rPr>
      <w:t xml:space="preserve"> </w:t>
    </w:r>
    <w:r w:rsidR="00592976" w:rsidRPr="00592976">
      <w:rPr>
        <w:rFonts w:ascii="Arial" w:eastAsia="Calibri" w:hAnsi="Arial" w:cs="Arial"/>
        <w:color w:val="0000FF"/>
        <w:sz w:val="20"/>
        <w:szCs w:val="20"/>
        <w:u w:val="single"/>
      </w:rPr>
      <w:t xml:space="preserve"> </w:t>
    </w:r>
  </w:p>
  <w:p w:rsidR="00310400" w:rsidRPr="00B0010A" w:rsidRDefault="00310400" w:rsidP="00310400">
    <w:pPr>
      <w:tabs>
        <w:tab w:val="center" w:pos="4536"/>
        <w:tab w:val="right" w:pos="9072"/>
      </w:tabs>
      <w:autoSpaceDE w:val="0"/>
      <w:autoSpaceDN w:val="0"/>
      <w:adjustRightInd w:val="0"/>
      <w:ind w:left="126"/>
      <w:jc w:val="center"/>
      <w:rPr>
        <w:rFonts w:ascii="Arial" w:hAnsi="Arial" w:cs="Arial"/>
        <w:i/>
        <w:sz w:val="20"/>
        <w:szCs w:val="20"/>
      </w:rPr>
    </w:pPr>
  </w:p>
  <w:p w:rsidR="00310400" w:rsidRDefault="0031040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D0676"/>
    <w:multiLevelType w:val="hybridMultilevel"/>
    <w:tmpl w:val="26B69D24"/>
    <w:lvl w:ilvl="0" w:tplc="DDCEC34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C7945"/>
    <w:multiLevelType w:val="hybridMultilevel"/>
    <w:tmpl w:val="58E0F6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D77CE"/>
    <w:multiLevelType w:val="hybridMultilevel"/>
    <w:tmpl w:val="A9EA1746"/>
    <w:lvl w:ilvl="0" w:tplc="54104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1B8FF9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 w:val="0"/>
        <w:color w:val="auto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91859"/>
    <w:multiLevelType w:val="hybridMultilevel"/>
    <w:tmpl w:val="C87CDB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A3869"/>
    <w:multiLevelType w:val="hybridMultilevel"/>
    <w:tmpl w:val="9C329EF0"/>
    <w:lvl w:ilvl="0" w:tplc="0204CE62">
      <w:start w:val="1"/>
      <w:numFmt w:val="lowerLetter"/>
      <w:lvlText w:val="%1)"/>
      <w:lvlJc w:val="left"/>
      <w:pPr>
        <w:tabs>
          <w:tab w:val="num" w:pos="924"/>
        </w:tabs>
        <w:ind w:left="1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04CE62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6D7317"/>
    <w:multiLevelType w:val="hybridMultilevel"/>
    <w:tmpl w:val="B47EC0B6"/>
    <w:lvl w:ilvl="0" w:tplc="D068B5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C52B1"/>
    <w:multiLevelType w:val="hybridMultilevel"/>
    <w:tmpl w:val="1B387BEE"/>
    <w:lvl w:ilvl="0" w:tplc="0204CE62">
      <w:start w:val="1"/>
      <w:numFmt w:val="lowerLetter"/>
      <w:lvlText w:val="%1)"/>
      <w:lvlJc w:val="left"/>
      <w:pPr>
        <w:tabs>
          <w:tab w:val="num" w:pos="924"/>
        </w:tabs>
        <w:ind w:left="1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8E223B"/>
    <w:multiLevelType w:val="hybridMultilevel"/>
    <w:tmpl w:val="B36259A2"/>
    <w:lvl w:ilvl="0" w:tplc="0204CE62">
      <w:start w:val="1"/>
      <w:numFmt w:val="lowerLetter"/>
      <w:lvlText w:val="%1)"/>
      <w:lvlJc w:val="left"/>
      <w:pPr>
        <w:tabs>
          <w:tab w:val="num" w:pos="924"/>
        </w:tabs>
        <w:ind w:left="1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9">
      <w:start w:val="1"/>
      <w:numFmt w:val="lowerLetter"/>
      <w:lvlText w:val="%3.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782C29"/>
    <w:multiLevelType w:val="hybridMultilevel"/>
    <w:tmpl w:val="C87CDB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80980"/>
    <w:multiLevelType w:val="hybridMultilevel"/>
    <w:tmpl w:val="2C18F6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00"/>
    <w:rsid w:val="000D6624"/>
    <w:rsid w:val="00310400"/>
    <w:rsid w:val="00396EFB"/>
    <w:rsid w:val="003D70A5"/>
    <w:rsid w:val="004F79A4"/>
    <w:rsid w:val="00592976"/>
    <w:rsid w:val="007C4A59"/>
    <w:rsid w:val="00935491"/>
    <w:rsid w:val="00DA2C58"/>
    <w:rsid w:val="00F9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5E913-6AB7-488C-8334-8712115C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10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0400"/>
  </w:style>
  <w:style w:type="paragraph" w:styleId="llb">
    <w:name w:val="footer"/>
    <w:basedOn w:val="Norml"/>
    <w:link w:val="llbChar"/>
    <w:uiPriority w:val="99"/>
    <w:unhideWhenUsed/>
    <w:rsid w:val="00310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0400"/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,LISTA"/>
    <w:basedOn w:val="Norml"/>
    <w:link w:val="ListaszerbekezdsChar"/>
    <w:uiPriority w:val="34"/>
    <w:qFormat/>
    <w:rsid w:val="00396EFB"/>
    <w:pPr>
      <w:spacing w:before="100" w:beforeAutospacing="1" w:after="100" w:afterAutospacing="1" w:line="240" w:lineRule="auto"/>
      <w:ind w:left="720"/>
      <w:contextualSpacing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qFormat/>
    <w:locked/>
    <w:rsid w:val="00396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Földiné Baksa Beatrix</dc:creator>
  <cp:keywords/>
  <dc:description/>
  <cp:lastModifiedBy>Földiné Baksa Beatrix</cp:lastModifiedBy>
  <cp:revision>5</cp:revision>
  <dcterms:created xsi:type="dcterms:W3CDTF">2022-12-12T07:07:00Z</dcterms:created>
  <dcterms:modified xsi:type="dcterms:W3CDTF">2023-10-31T13:00:00Z</dcterms:modified>
</cp:coreProperties>
</file>