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91" w:rsidRPr="00264D99" w:rsidRDefault="00935491" w:rsidP="00935491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592976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92976" w:rsidRPr="00592976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92976">
        <w:rPr>
          <w:rFonts w:ascii="Arial" w:eastAsia="Calibri" w:hAnsi="Arial" w:cs="Arial"/>
          <w:b/>
          <w:sz w:val="20"/>
          <w:szCs w:val="20"/>
        </w:rPr>
        <w:t>TÁJÉKOZTATÓ</w:t>
      </w:r>
    </w:p>
    <w:p w:rsidR="00B17CE3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gramStart"/>
      <w:r w:rsidRPr="00592976">
        <w:rPr>
          <w:rFonts w:ascii="Arial" w:eastAsia="Calibri" w:hAnsi="Arial" w:cs="Arial"/>
          <w:b/>
          <w:sz w:val="20"/>
          <w:szCs w:val="20"/>
        </w:rPr>
        <w:t>a</w:t>
      </w:r>
      <w:proofErr w:type="gramEnd"/>
      <w:r w:rsidRPr="00592976">
        <w:rPr>
          <w:rFonts w:ascii="Arial" w:eastAsia="Calibri" w:hAnsi="Arial" w:cs="Arial"/>
          <w:b/>
          <w:sz w:val="20"/>
          <w:szCs w:val="20"/>
        </w:rPr>
        <w:t xml:space="preserve"> </w:t>
      </w:r>
      <w:bookmarkStart w:id="0" w:name="nehéz1"/>
      <w:r w:rsidRPr="00592976">
        <w:rPr>
          <w:rFonts w:ascii="Arial" w:eastAsia="Calibri" w:hAnsi="Arial" w:cs="Arial"/>
          <w:b/>
          <w:sz w:val="20"/>
          <w:szCs w:val="20"/>
        </w:rPr>
        <w:t>„nehéz helyzetben lévő vállalkozás</w:t>
      </w:r>
      <w:bookmarkEnd w:id="0"/>
      <w:r w:rsidRPr="00592976">
        <w:rPr>
          <w:rFonts w:ascii="Arial" w:eastAsia="Calibri" w:hAnsi="Arial" w:cs="Arial"/>
          <w:b/>
          <w:sz w:val="20"/>
          <w:szCs w:val="20"/>
        </w:rPr>
        <w:t>” fogalmának meghatározásáról</w:t>
      </w:r>
    </w:p>
    <w:p w:rsidR="00592976" w:rsidRPr="00E074E3" w:rsidRDefault="00B17CE3" w:rsidP="0059297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E074E3">
        <w:rPr>
          <w:rFonts w:ascii="Arial" w:eastAsia="Calibri" w:hAnsi="Arial" w:cs="Arial"/>
          <w:b/>
          <w:sz w:val="20"/>
          <w:szCs w:val="20"/>
        </w:rPr>
        <w:t>(a 651/2014/EU rendelet hatálya alá tartozó hátrányos helyzetben lévő munkavállalók bértámogatása esetén)</w:t>
      </w:r>
    </w:p>
    <w:p w:rsidR="00592976" w:rsidRPr="00A90E0B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A90E0B">
        <w:rPr>
          <w:rFonts w:ascii="Arial" w:eastAsia="Calibri" w:hAnsi="Arial" w:cs="Arial"/>
          <w:color w:val="000000" w:themeColor="text1"/>
          <w:sz w:val="20"/>
          <w:szCs w:val="20"/>
        </w:rPr>
        <w:t>1. Nagyvállalkozásra vonatkozó szabályok</w:t>
      </w:r>
    </w:p>
    <w:p w:rsidR="00592976" w:rsidRPr="00592976" w:rsidRDefault="00592976" w:rsidP="00592976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Az európai uniós versenyjogi értelemben vett állami támogatásokkal kapcsolatos eljárásról és a regionális támogatási térképről szóló 37/2011. (III. 22.) Korm. rendelet 6. § (1) bekezdése szerint: ha uniós állami támogatási szabály másként nem rendelkezik, nehéz helyzetben lévő vállalkozás nem részesülhet állami támogatásban.</w:t>
      </w:r>
    </w:p>
    <w:p w:rsidR="00592976" w:rsidRPr="00592976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2C508B" w:rsidRPr="00E074E3" w:rsidRDefault="00592976" w:rsidP="002C508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 xml:space="preserve">A fenti Korm. rendelet 6. §. </w:t>
      </w:r>
      <w:r w:rsidRPr="00E074E3">
        <w:rPr>
          <w:rFonts w:ascii="Arial" w:eastAsia="Calibri" w:hAnsi="Arial" w:cs="Arial"/>
          <w:sz w:val="20"/>
          <w:szCs w:val="20"/>
        </w:rPr>
        <w:t>(</w:t>
      </w:r>
      <w:r w:rsidR="003D4D3D" w:rsidRPr="00E074E3">
        <w:rPr>
          <w:rFonts w:ascii="Arial" w:eastAsia="Calibri" w:hAnsi="Arial" w:cs="Arial"/>
          <w:sz w:val="20"/>
          <w:szCs w:val="20"/>
        </w:rPr>
        <w:t xml:space="preserve"> </w:t>
      </w:r>
      <w:r w:rsidR="002C508B" w:rsidRPr="00E074E3">
        <w:rPr>
          <w:rFonts w:ascii="Arial" w:eastAsia="Calibri" w:hAnsi="Arial" w:cs="Arial"/>
          <w:sz w:val="20"/>
          <w:szCs w:val="20"/>
        </w:rPr>
        <w:t>4a</w:t>
      </w:r>
      <w:r w:rsidRPr="00E074E3">
        <w:rPr>
          <w:rFonts w:ascii="Arial" w:eastAsia="Calibri" w:hAnsi="Arial" w:cs="Arial"/>
          <w:sz w:val="20"/>
          <w:szCs w:val="20"/>
        </w:rPr>
        <w:t xml:space="preserve">) bekezdésének értelmében </w:t>
      </w:r>
      <w:r w:rsidRPr="00E074E3">
        <w:rPr>
          <w:rFonts w:ascii="Arial" w:eastAsia="Calibri" w:hAnsi="Arial" w:cs="Arial"/>
          <w:b/>
          <w:sz w:val="20"/>
          <w:szCs w:val="20"/>
        </w:rPr>
        <w:t>valamely vállalkozás akkor</w:t>
      </w:r>
      <w:r w:rsidRPr="00E074E3">
        <w:rPr>
          <w:rFonts w:ascii="Arial" w:eastAsia="Calibri" w:hAnsi="Arial" w:cs="Arial"/>
          <w:sz w:val="20"/>
          <w:szCs w:val="20"/>
        </w:rPr>
        <w:t xml:space="preserve"> minősül nehéz helyzetben lévőnek,</w:t>
      </w:r>
      <w:r w:rsidR="002C508B" w:rsidRPr="00E074E3">
        <w:rPr>
          <w:rFonts w:ascii="Arial" w:eastAsia="Calibri" w:hAnsi="Arial" w:cs="Arial"/>
          <w:sz w:val="20"/>
          <w:szCs w:val="20"/>
        </w:rPr>
        <w:t xml:space="preserve"> ha legalább az alábbi </w:t>
      </w:r>
      <w:proofErr w:type="gramStart"/>
      <w:r w:rsidR="002C508B" w:rsidRPr="00E074E3">
        <w:rPr>
          <w:rFonts w:ascii="Arial" w:eastAsia="Calibri" w:hAnsi="Arial" w:cs="Arial"/>
          <w:sz w:val="20"/>
          <w:szCs w:val="20"/>
        </w:rPr>
        <w:t>kategóriák</w:t>
      </w:r>
      <w:proofErr w:type="gramEnd"/>
      <w:r w:rsidR="002C508B" w:rsidRPr="00E074E3">
        <w:rPr>
          <w:rFonts w:ascii="Arial" w:eastAsia="Calibri" w:hAnsi="Arial" w:cs="Arial"/>
          <w:sz w:val="20"/>
          <w:szCs w:val="20"/>
        </w:rPr>
        <w:t xml:space="preserve"> egyikébe beletartozik: </w:t>
      </w:r>
    </w:p>
    <w:p w:rsidR="00592976" w:rsidRPr="00592976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 xml:space="preserve"> </w:t>
      </w:r>
    </w:p>
    <w:p w:rsidR="00592976" w:rsidRPr="00592976" w:rsidRDefault="00592976" w:rsidP="00592976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592976">
        <w:rPr>
          <w:rFonts w:ascii="Arial" w:eastAsia="Calibri" w:hAnsi="Arial" w:cs="Arial"/>
          <w:sz w:val="20"/>
          <w:szCs w:val="20"/>
        </w:rPr>
        <w:t>a) olyan társaság esetén, ahol a tagok felelőssége a társaság tartozásai tekintetében korlátozott, így különösen a részvénytársaság és a korlátolt felelősségű társaság esetében</w:t>
      </w:r>
      <w:r w:rsidR="00A90E0B">
        <w:rPr>
          <w:rFonts w:ascii="Arial" w:eastAsia="Calibri" w:hAnsi="Arial" w:cs="Arial"/>
          <w:sz w:val="20"/>
          <w:szCs w:val="20"/>
        </w:rPr>
        <w:t xml:space="preserve"> </w:t>
      </w:r>
      <w:r w:rsidR="00A90E0B" w:rsidRPr="00E074E3">
        <w:rPr>
          <w:rFonts w:ascii="Arial" w:eastAsia="Calibri" w:hAnsi="Arial" w:cs="Arial"/>
          <w:sz w:val="20"/>
          <w:szCs w:val="20"/>
        </w:rPr>
        <w:t>(kivéve a kevesebb, mint három éve létező kkv-kat, illetve a kockázatfinanszírozási támogatásra való jogosultság alkalmazásában az első kereskedelmi értékesítéstől számítva kevesebb, mint hét éve működő olyan kkv-kat, amelyek a kiválasztott pénzügyi közvetítő által végzett átvilágítást követően kockázatfinanszírozási beruházásra jogosultak)</w:t>
      </w:r>
      <w:r w:rsidRPr="00E074E3">
        <w:rPr>
          <w:rFonts w:ascii="Arial" w:eastAsia="Calibri" w:hAnsi="Arial" w:cs="Arial"/>
          <w:sz w:val="20"/>
          <w:szCs w:val="20"/>
        </w:rPr>
        <w:t>, ha a vállalkozás névértéken</w:t>
      </w:r>
      <w:r w:rsidRPr="00592976">
        <w:rPr>
          <w:rFonts w:ascii="Arial" w:eastAsia="Calibri" w:hAnsi="Arial" w:cs="Arial"/>
          <w:sz w:val="20"/>
          <w:szCs w:val="20"/>
        </w:rPr>
        <w:t xml:space="preserve"> felüli befizetést is magában foglaló jegyzett tőkéjének</w:t>
      </w:r>
      <w:proofErr w:type="gramEnd"/>
      <w:r w:rsidRPr="00592976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76">
        <w:rPr>
          <w:rFonts w:ascii="Arial" w:eastAsia="Calibri" w:hAnsi="Arial" w:cs="Arial"/>
          <w:sz w:val="20"/>
          <w:szCs w:val="20"/>
        </w:rPr>
        <w:t>több</w:t>
      </w:r>
      <w:proofErr w:type="gramEnd"/>
      <w:r w:rsidRPr="00592976">
        <w:rPr>
          <w:rFonts w:ascii="Arial" w:eastAsia="Calibri" w:hAnsi="Arial" w:cs="Arial"/>
          <w:sz w:val="20"/>
          <w:szCs w:val="20"/>
        </w:rPr>
        <w:t xml:space="preserve"> mint a felét felhalmozott veszteségei miatt elvesztette, különösen amennyiben a felhalmozott veszteségeknek saját forrásnak minősülő elemből történő levonásakor a jegyzett tőke felét meghaladó negatív eredmény keletkezik,</w:t>
      </w:r>
    </w:p>
    <w:p w:rsidR="00592976" w:rsidRPr="00592976" w:rsidRDefault="00592976" w:rsidP="00592976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592976">
        <w:rPr>
          <w:rFonts w:ascii="Arial" w:eastAsia="Calibri" w:hAnsi="Arial" w:cs="Arial"/>
          <w:sz w:val="20"/>
          <w:szCs w:val="20"/>
        </w:rPr>
        <w:t xml:space="preserve">b) olyan társaság esetén, ahol legalább egyes tagok korlátlan felelősséggel bírnak a társaság tartozásai </w:t>
      </w:r>
      <w:r w:rsidRPr="000926D1">
        <w:rPr>
          <w:rFonts w:ascii="Arial" w:eastAsia="Calibri" w:hAnsi="Arial" w:cs="Arial"/>
          <w:sz w:val="20"/>
          <w:szCs w:val="20"/>
        </w:rPr>
        <w:t>tekintetében</w:t>
      </w:r>
      <w:r w:rsidR="00A90E0B" w:rsidRPr="000926D1">
        <w:rPr>
          <w:rFonts w:ascii="Arial" w:eastAsia="Calibri" w:hAnsi="Arial" w:cs="Arial"/>
          <w:sz w:val="20"/>
          <w:szCs w:val="20"/>
        </w:rPr>
        <w:t xml:space="preserve"> (kivéve a kevesebb, mint három éve létező kkv-kat, illetve a kockázatfinanszírozási támogatásra való jogosultság alkalmazásában az első kereskedelmi értékesítéstől számítva kevesebb, mint hét éve működő olyan kkv-kat, amelyek a kiválasztott pénzügyi közvetítő által végzett átvilágítást követően kockázatfinanszírozási beruházásra jogosultak)</w:t>
      </w:r>
      <w:r w:rsidRPr="000926D1">
        <w:rPr>
          <w:rFonts w:ascii="Arial" w:eastAsia="Calibri" w:hAnsi="Arial" w:cs="Arial"/>
          <w:sz w:val="20"/>
          <w:szCs w:val="20"/>
        </w:rPr>
        <w:t xml:space="preserve">, </w:t>
      </w:r>
      <w:r w:rsidRPr="00592976">
        <w:rPr>
          <w:rFonts w:ascii="Arial" w:eastAsia="Calibri" w:hAnsi="Arial" w:cs="Arial"/>
          <w:sz w:val="20"/>
          <w:szCs w:val="20"/>
        </w:rPr>
        <w:t>így különösen a közkereseti társaság, betéti társaság, közös vállalat, egyesülés és egyéni cég esetében, amennyiben a vállalkozás a saját</w:t>
      </w:r>
      <w:proofErr w:type="gramEnd"/>
      <w:r w:rsidRPr="00592976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76">
        <w:rPr>
          <w:rFonts w:ascii="Arial" w:eastAsia="Calibri" w:hAnsi="Arial" w:cs="Arial"/>
          <w:sz w:val="20"/>
          <w:szCs w:val="20"/>
        </w:rPr>
        <w:t>tőkéjének</w:t>
      </w:r>
      <w:proofErr w:type="gramEnd"/>
      <w:r w:rsidRPr="00592976">
        <w:rPr>
          <w:rFonts w:ascii="Arial" w:eastAsia="Calibri" w:hAnsi="Arial" w:cs="Arial"/>
          <w:sz w:val="20"/>
          <w:szCs w:val="20"/>
        </w:rPr>
        <w:t xml:space="preserve"> több mint felét felhalmozott veszteségei miatt elvesztette,</w:t>
      </w:r>
    </w:p>
    <w:p w:rsidR="00592976" w:rsidRPr="00592976" w:rsidRDefault="00592976" w:rsidP="00592976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c) olyan vállalkozás, amely ellen a fizetésképtelenségi eljárásról szóló uniós rendelet szerinti fizetésképtelenségi eljárás indult, vagy ellene hitelezői kérelmére a saját joga alapján ilyen fizetésképtelenségi eljárás indítható,</w:t>
      </w:r>
    </w:p>
    <w:p w:rsidR="00032ADD" w:rsidRPr="000926D1" w:rsidRDefault="00592976" w:rsidP="00032ADD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d</w:t>
      </w:r>
      <w:r w:rsidRPr="000926D1">
        <w:rPr>
          <w:rFonts w:ascii="Arial" w:eastAsia="Calibri" w:hAnsi="Arial" w:cs="Arial"/>
          <w:sz w:val="20"/>
          <w:szCs w:val="20"/>
        </w:rPr>
        <w:t xml:space="preserve">) </w:t>
      </w:r>
      <w:r w:rsidR="00032ADD" w:rsidRPr="000926D1">
        <w:rPr>
          <w:rFonts w:ascii="Arial" w:eastAsia="Calibri" w:hAnsi="Arial" w:cs="Arial"/>
          <w:sz w:val="20"/>
          <w:szCs w:val="20"/>
        </w:rPr>
        <w:t xml:space="preserve">olyan vállalkozás, amely * </w:t>
      </w:r>
    </w:p>
    <w:p w:rsidR="00032ADD" w:rsidRPr="000926D1" w:rsidRDefault="00032ADD" w:rsidP="00032ADD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:rsidR="0010625B" w:rsidRPr="000926D1" w:rsidRDefault="00032ADD" w:rsidP="00032ADD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926D1">
        <w:rPr>
          <w:rFonts w:ascii="Arial" w:eastAsia="Calibri" w:hAnsi="Arial" w:cs="Arial"/>
          <w:sz w:val="20"/>
          <w:szCs w:val="20"/>
        </w:rPr>
        <w:t>da) megmentési célú támogatásban részesült és a kölcsönt még nem fizette vissza vagy a kezességvállalás időtartama még nem járt le, vagy</w:t>
      </w:r>
      <w:r w:rsidR="0010625B" w:rsidRPr="000926D1">
        <w:rPr>
          <w:rFonts w:ascii="Arial" w:eastAsia="Calibri" w:hAnsi="Arial" w:cs="Arial"/>
          <w:sz w:val="20"/>
          <w:szCs w:val="20"/>
        </w:rPr>
        <w:t xml:space="preserve"> </w:t>
      </w:r>
    </w:p>
    <w:p w:rsidR="00032ADD" w:rsidRPr="000926D1" w:rsidRDefault="00032ADD" w:rsidP="00032ADD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0926D1">
        <w:rPr>
          <w:rFonts w:ascii="Arial" w:eastAsia="Calibri" w:hAnsi="Arial" w:cs="Arial"/>
          <w:sz w:val="20"/>
          <w:szCs w:val="20"/>
        </w:rPr>
        <w:t>db) szerkezetátalakítási támogatásban részesült és továbbra is a szerkezetátalakítási terv hatálya alá tartozik,</w:t>
      </w:r>
    </w:p>
    <w:p w:rsidR="00032ADD" w:rsidRPr="000926D1" w:rsidRDefault="00032ADD" w:rsidP="00032ADD">
      <w:pPr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926D1">
        <w:rPr>
          <w:rFonts w:ascii="Arial" w:eastAsia="Calibri" w:hAnsi="Arial" w:cs="Arial"/>
          <w:sz w:val="20"/>
          <w:szCs w:val="20"/>
        </w:rPr>
        <w:t>e</w:t>
      </w:r>
      <w:proofErr w:type="gramEnd"/>
      <w:r w:rsidRPr="000926D1">
        <w:rPr>
          <w:rFonts w:ascii="Arial" w:eastAsia="Calibri" w:hAnsi="Arial" w:cs="Arial"/>
          <w:sz w:val="20"/>
          <w:szCs w:val="20"/>
        </w:rPr>
        <w:t>) kis- és középvállalkozások kivételével olyan vállalkozás, amely esetében az előző két évben a könyv szerinti idegen tőke és saját tőke aránya meghaladta a 7,5-et és a kamatok, adózás és értékcsökkenési leírás előtti eredménnyel számolt kamatfedezeti ráta kevesebb volt 1,0-nél.</w:t>
      </w:r>
    </w:p>
    <w:p w:rsidR="00592976" w:rsidRPr="000926D1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F37AB" w:rsidRPr="000926D1" w:rsidRDefault="005F37AB" w:rsidP="005F37A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592976" w:rsidRDefault="00592976" w:rsidP="005929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92976">
        <w:rPr>
          <w:rFonts w:ascii="Arial" w:eastAsia="Calibri" w:hAnsi="Arial" w:cs="Arial"/>
          <w:b/>
          <w:sz w:val="20"/>
          <w:szCs w:val="20"/>
        </w:rPr>
        <w:lastRenderedPageBreak/>
        <w:t>2. Mikro-, kis- és középvállalkozásra vonatkozó szabályok</w:t>
      </w:r>
    </w:p>
    <w:p w:rsidR="00592976" w:rsidRPr="00592976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A kis- és középvállalkozásokról, fejlődésük támogatásáról szóló 2004. évi XXXIV. törvény 3. §-a szerint KKV-nak minősül az a vállalkozás, amelynek:</w:t>
      </w:r>
    </w:p>
    <w:p w:rsidR="00592976" w:rsidRPr="00592976" w:rsidRDefault="00592976" w:rsidP="00592976">
      <w:pPr>
        <w:numPr>
          <w:ilvl w:val="1"/>
          <w:numId w:val="8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összes foglalkoztatotti létszáma 250 főnél kevesebb, és</w:t>
      </w:r>
    </w:p>
    <w:p w:rsidR="00592976" w:rsidRPr="00592976" w:rsidRDefault="00592976" w:rsidP="00592976">
      <w:pPr>
        <w:numPr>
          <w:ilvl w:val="1"/>
          <w:numId w:val="8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éves nettó árbevétele legfeljebb 50 millió eurónak megfelelő forintösszeg, vagy mérlegfőösszege legfeljebb 43 millió eurónak megfelelő forintösszeg. (középvállalkozás)</w:t>
      </w:r>
    </w:p>
    <w:p w:rsidR="00592976" w:rsidRPr="00592976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A KKV kategórián belül kisvállalkozásnak minősül az a vállalkozás, amelynek:</w:t>
      </w:r>
    </w:p>
    <w:p w:rsidR="00592976" w:rsidRPr="00592976" w:rsidRDefault="00592976" w:rsidP="00592976">
      <w:pPr>
        <w:numPr>
          <w:ilvl w:val="2"/>
          <w:numId w:val="10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összes foglalkoztatotti létszáma 50 főnél kevesebb, és</w:t>
      </w:r>
    </w:p>
    <w:p w:rsidR="003D70A5" w:rsidRDefault="00592976" w:rsidP="003D3465">
      <w:pPr>
        <w:numPr>
          <w:ilvl w:val="2"/>
          <w:numId w:val="10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FF7227">
        <w:rPr>
          <w:rFonts w:ascii="Arial" w:eastAsia="Calibri" w:hAnsi="Arial" w:cs="Arial"/>
          <w:sz w:val="20"/>
          <w:szCs w:val="20"/>
        </w:rPr>
        <w:t>éves nettó árbevétele vagy mérlegfőösszege legfeljebb 10 millió eurónak megfelelő forintösszeg.</w:t>
      </w:r>
    </w:p>
    <w:p w:rsidR="00FF7227" w:rsidRPr="00FF7227" w:rsidRDefault="00FF7227" w:rsidP="00FF7227">
      <w:pPr>
        <w:spacing w:after="0" w:line="276" w:lineRule="auto"/>
        <w:ind w:left="207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592976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 xml:space="preserve">A KKV </w:t>
      </w:r>
      <w:proofErr w:type="gramStart"/>
      <w:r w:rsidRPr="00592976">
        <w:rPr>
          <w:rFonts w:ascii="Arial" w:eastAsia="Calibri" w:hAnsi="Arial" w:cs="Arial"/>
          <w:sz w:val="20"/>
          <w:szCs w:val="20"/>
        </w:rPr>
        <w:t>kategórián</w:t>
      </w:r>
      <w:proofErr w:type="gramEnd"/>
      <w:r w:rsidRPr="00592976">
        <w:rPr>
          <w:rFonts w:ascii="Arial" w:eastAsia="Calibri" w:hAnsi="Arial" w:cs="Arial"/>
          <w:sz w:val="20"/>
          <w:szCs w:val="20"/>
        </w:rPr>
        <w:t xml:space="preserve"> belül </w:t>
      </w:r>
      <w:proofErr w:type="spellStart"/>
      <w:r w:rsidRPr="00592976">
        <w:rPr>
          <w:rFonts w:ascii="Arial" w:eastAsia="Calibri" w:hAnsi="Arial" w:cs="Arial"/>
          <w:sz w:val="20"/>
          <w:szCs w:val="20"/>
        </w:rPr>
        <w:t>mikrovállalkozásnak</w:t>
      </w:r>
      <w:proofErr w:type="spellEnd"/>
      <w:r w:rsidRPr="00592976">
        <w:rPr>
          <w:rFonts w:ascii="Arial" w:eastAsia="Calibri" w:hAnsi="Arial" w:cs="Arial"/>
          <w:sz w:val="20"/>
          <w:szCs w:val="20"/>
        </w:rPr>
        <w:t xml:space="preserve"> minősül az a vállalkozás, amelynek:</w:t>
      </w:r>
    </w:p>
    <w:p w:rsidR="00592976" w:rsidRPr="00592976" w:rsidRDefault="00592976" w:rsidP="00592976">
      <w:pPr>
        <w:numPr>
          <w:ilvl w:val="1"/>
          <w:numId w:val="9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összes foglalkoztatotti létszáma 10 főnél kevesebb, és</w:t>
      </w:r>
    </w:p>
    <w:p w:rsidR="00592976" w:rsidRPr="00592976" w:rsidRDefault="00592976" w:rsidP="00592976">
      <w:pPr>
        <w:numPr>
          <w:ilvl w:val="1"/>
          <w:numId w:val="9"/>
        </w:numPr>
        <w:tabs>
          <w:tab w:val="num" w:pos="567"/>
        </w:tabs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éves nettó árbevétele vagy mérlegfőösszege legfeljebb 2 millió eurónak megfelelő forintösszeg.</w:t>
      </w:r>
    </w:p>
    <w:p w:rsidR="00592976" w:rsidRPr="00592976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592976" w:rsidRDefault="00592976" w:rsidP="005929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92976">
        <w:rPr>
          <w:rFonts w:ascii="Arial" w:eastAsia="Calibri" w:hAnsi="Arial" w:cs="Arial"/>
          <w:sz w:val="20"/>
          <w:szCs w:val="20"/>
        </w:rPr>
        <w:t>Nem minősül KKV-</w:t>
      </w:r>
      <w:proofErr w:type="spellStart"/>
      <w:r w:rsidRPr="00592976">
        <w:rPr>
          <w:rFonts w:ascii="Arial" w:eastAsia="Calibri" w:hAnsi="Arial" w:cs="Arial"/>
          <w:sz w:val="20"/>
          <w:szCs w:val="20"/>
        </w:rPr>
        <w:t>nek</w:t>
      </w:r>
      <w:proofErr w:type="spellEnd"/>
      <w:r w:rsidRPr="00592976">
        <w:rPr>
          <w:rFonts w:ascii="Arial" w:eastAsia="Calibri" w:hAnsi="Arial" w:cs="Arial"/>
          <w:sz w:val="20"/>
          <w:szCs w:val="20"/>
        </w:rPr>
        <w:t xml:space="preserve"> az a vállalkozás, amelyben az állam vagy az önkormányzat közvetlen vagy közvetett tulajdoni részesedése (tőke vagy szavazati joga alapján) külön-külön vagy együttesen meghaladja a 25%-</w:t>
      </w:r>
      <w:proofErr w:type="spellStart"/>
      <w:r w:rsidRPr="00592976">
        <w:rPr>
          <w:rFonts w:ascii="Arial" w:eastAsia="Calibri" w:hAnsi="Arial" w:cs="Arial"/>
          <w:sz w:val="20"/>
          <w:szCs w:val="20"/>
        </w:rPr>
        <w:t>ot</w:t>
      </w:r>
      <w:proofErr w:type="spellEnd"/>
      <w:r w:rsidRPr="00592976">
        <w:rPr>
          <w:rFonts w:ascii="Arial" w:eastAsia="Calibri" w:hAnsi="Arial" w:cs="Arial"/>
          <w:sz w:val="20"/>
          <w:szCs w:val="20"/>
        </w:rPr>
        <w:t>.</w:t>
      </w:r>
    </w:p>
    <w:p w:rsidR="00592976" w:rsidRPr="00592976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76" w:rsidRPr="00592976" w:rsidRDefault="00592976" w:rsidP="005929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GoBack"/>
      <w:bookmarkEnd w:id="1"/>
      <w:r w:rsidRPr="00592976">
        <w:rPr>
          <w:rFonts w:ascii="Arial" w:eastAsia="Calibri" w:hAnsi="Arial" w:cs="Arial"/>
          <w:sz w:val="20"/>
          <w:szCs w:val="20"/>
        </w:rPr>
        <w:tab/>
      </w:r>
      <w:r w:rsidRPr="00592976">
        <w:rPr>
          <w:rFonts w:ascii="Arial" w:eastAsia="Calibri" w:hAnsi="Arial" w:cs="Arial"/>
          <w:sz w:val="20"/>
          <w:szCs w:val="20"/>
        </w:rPr>
        <w:tab/>
      </w:r>
      <w:r w:rsidRPr="00592976">
        <w:rPr>
          <w:rFonts w:ascii="Arial" w:eastAsia="Calibri" w:hAnsi="Arial" w:cs="Arial"/>
          <w:sz w:val="20"/>
          <w:szCs w:val="20"/>
        </w:rPr>
        <w:tab/>
      </w:r>
    </w:p>
    <w:sectPr w:rsidR="00592976" w:rsidRPr="00592976" w:rsidSect="00310400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00" w:rsidRDefault="00310400" w:rsidP="00310400">
      <w:pPr>
        <w:spacing w:after="0" w:line="240" w:lineRule="auto"/>
      </w:pPr>
      <w:r>
        <w:separator/>
      </w:r>
    </w:p>
  </w:endnote>
  <w:end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310400" w:rsidRDefault="000D6624" w:rsidP="00310400">
    <w:pPr>
      <w:pBdr>
        <w:between w:val="single" w:sz="2" w:space="1" w:color="auto"/>
      </w:pBdr>
      <w:autoSpaceDE w:val="0"/>
      <w:autoSpaceDN w:val="0"/>
      <w:adjustRightInd w:val="0"/>
      <w:spacing w:after="200" w:line="200" w:lineRule="atLeast"/>
      <w:ind w:right="3116"/>
      <w:textAlignment w:val="center"/>
      <w:rPr>
        <w:rFonts w:ascii="Arial" w:eastAsia="Calibri" w:hAnsi="Arial" w:cs="Arial"/>
        <w:i/>
        <w:color w:val="000000"/>
        <w:spacing w:val="2"/>
        <w:sz w:val="20"/>
        <w:szCs w:val="20"/>
      </w:rPr>
    </w:pPr>
    <w:r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drawing>
        <wp:anchor distT="0" distB="0" distL="114300" distR="114300" simplePos="0" relativeHeight="251659264" behindDoc="1" locked="0" layoutInCell="1" allowOverlap="1" wp14:anchorId="0E787359" wp14:editId="3DEDC8CA">
          <wp:simplePos x="0" y="0"/>
          <wp:positionH relativeFrom="page">
            <wp:posOffset>3482060</wp:posOffset>
          </wp:positionH>
          <wp:positionV relativeFrom="page">
            <wp:posOffset>9491294</wp:posOffset>
          </wp:positionV>
          <wp:extent cx="4168202" cy="1362075"/>
          <wp:effectExtent l="0" t="0" r="3810" b="0"/>
          <wp:wrapTight wrapText="bothSides">
            <wp:wrapPolygon edited="0">
              <wp:start x="0" y="0"/>
              <wp:lineTo x="0" y="21147"/>
              <wp:lineTo x="21521" y="21147"/>
              <wp:lineTo x="21521" y="0"/>
              <wp:lineTo x="0" y="0"/>
            </wp:wrapPolygon>
          </wp:wrapTight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202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D6624">
      <w:rPr>
        <w:rFonts w:ascii="Arial" w:eastAsia="Calibri" w:hAnsi="Arial" w:cs="Arial"/>
        <w:b/>
        <w:i/>
        <w:noProof/>
        <w:sz w:val="20"/>
        <w:szCs w:val="20"/>
        <w:highlight w:val="yellow"/>
        <w:lang w:eastAsia="hu-HU"/>
      </w:rPr>
      <w:t xml:space="preserve"> </w:t>
    </w:r>
  </w:p>
  <w:p w:rsidR="00310400" w:rsidRDefault="003104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00" w:rsidRDefault="00310400" w:rsidP="00310400">
      <w:pPr>
        <w:spacing w:after="0" w:line="240" w:lineRule="auto"/>
      </w:pPr>
      <w:r>
        <w:separator/>
      </w:r>
    </w:p>
  </w:footnote>
  <w:footnote w:type="continuationSeparator" w:id="0">
    <w:p w:rsidR="00310400" w:rsidRDefault="00310400" w:rsidP="0031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00" w:rsidRPr="00B0010A" w:rsidRDefault="001C00BB" w:rsidP="00310400">
    <w:pPr>
      <w:tabs>
        <w:tab w:val="center" w:pos="4536"/>
        <w:tab w:val="right" w:pos="9072"/>
      </w:tabs>
      <w:autoSpaceDE w:val="0"/>
      <w:autoSpaceDN w:val="0"/>
      <w:adjustRightInd w:val="0"/>
      <w:ind w:left="126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  <w:highlight w:val="lightGray"/>
        <w:lang w:eastAsia="hu-HU"/>
      </w:rPr>
      <w:drawing>
        <wp:inline distT="0" distB="0" distL="0" distR="0" wp14:anchorId="2E258CC9" wp14:editId="7196C87E">
          <wp:extent cx="895985" cy="609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0400" w:rsidRDefault="003104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945"/>
    <w:multiLevelType w:val="hybridMultilevel"/>
    <w:tmpl w:val="58E0F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D77CE"/>
    <w:multiLevelType w:val="hybridMultilevel"/>
    <w:tmpl w:val="A9EA1746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29185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A3869"/>
    <w:multiLevelType w:val="hybridMultilevel"/>
    <w:tmpl w:val="9C329EF0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4CE62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D7317"/>
    <w:multiLevelType w:val="hybridMultilevel"/>
    <w:tmpl w:val="B47EC0B6"/>
    <w:lvl w:ilvl="0" w:tplc="D068B5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52B1"/>
    <w:multiLevelType w:val="hybridMultilevel"/>
    <w:tmpl w:val="1B387BEE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E223B"/>
    <w:multiLevelType w:val="hybridMultilevel"/>
    <w:tmpl w:val="B36259A2"/>
    <w:lvl w:ilvl="0" w:tplc="0204CE62">
      <w:start w:val="1"/>
      <w:numFmt w:val="lowerLetter"/>
      <w:lvlText w:val="%1)"/>
      <w:lvlJc w:val="left"/>
      <w:pPr>
        <w:tabs>
          <w:tab w:val="num" w:pos="924"/>
        </w:tabs>
        <w:ind w:left="1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9">
      <w:start w:val="1"/>
      <w:numFmt w:val="lowerLetter"/>
      <w:lvlText w:val="%3."/>
      <w:lvlJc w:val="left"/>
      <w:pPr>
        <w:tabs>
          <w:tab w:val="num" w:pos="66"/>
        </w:tabs>
        <w:ind w:left="78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82C29"/>
    <w:multiLevelType w:val="hybridMultilevel"/>
    <w:tmpl w:val="C87CD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0980"/>
    <w:multiLevelType w:val="hybridMultilevel"/>
    <w:tmpl w:val="2C18F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00"/>
    <w:rsid w:val="00032ADD"/>
    <w:rsid w:val="000926D1"/>
    <w:rsid w:val="000D6624"/>
    <w:rsid w:val="0010625B"/>
    <w:rsid w:val="001C00BB"/>
    <w:rsid w:val="002C508B"/>
    <w:rsid w:val="00310400"/>
    <w:rsid w:val="00396EFB"/>
    <w:rsid w:val="003D4D3D"/>
    <w:rsid w:val="003D70A5"/>
    <w:rsid w:val="004A36B7"/>
    <w:rsid w:val="004F79A4"/>
    <w:rsid w:val="00592976"/>
    <w:rsid w:val="005F32EC"/>
    <w:rsid w:val="005F37AB"/>
    <w:rsid w:val="0071381D"/>
    <w:rsid w:val="00733A3D"/>
    <w:rsid w:val="007C4A59"/>
    <w:rsid w:val="008E73A4"/>
    <w:rsid w:val="00935491"/>
    <w:rsid w:val="00A90E0B"/>
    <w:rsid w:val="00B17CE3"/>
    <w:rsid w:val="00C958B3"/>
    <w:rsid w:val="00DA2C58"/>
    <w:rsid w:val="00E074E3"/>
    <w:rsid w:val="00F80508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E913-6AB7-488C-8334-8712115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400"/>
  </w:style>
  <w:style w:type="paragraph" w:styleId="llb">
    <w:name w:val="footer"/>
    <w:basedOn w:val="Norml"/>
    <w:link w:val="llbChar"/>
    <w:uiPriority w:val="99"/>
    <w:unhideWhenUsed/>
    <w:rsid w:val="0031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400"/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396EFB"/>
    <w:pPr>
      <w:spacing w:before="100" w:beforeAutospacing="1" w:after="100" w:afterAutospacing="1" w:line="240" w:lineRule="auto"/>
      <w:ind w:left="720"/>
      <w:contextualSpacing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396EFB"/>
  </w:style>
  <w:style w:type="paragraph" w:styleId="Buborkszveg">
    <w:name w:val="Balloon Text"/>
    <w:basedOn w:val="Norml"/>
    <w:link w:val="BuborkszvegChar"/>
    <w:uiPriority w:val="99"/>
    <w:semiHidden/>
    <w:unhideWhenUsed/>
    <w:rsid w:val="00F8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Földiné Baksa Beatrix</dc:creator>
  <cp:keywords/>
  <dc:description/>
  <cp:lastModifiedBy>Földiné Baksa Beatrix</cp:lastModifiedBy>
  <cp:revision>8</cp:revision>
  <cp:lastPrinted>2024-01-16T09:28:00Z</cp:lastPrinted>
  <dcterms:created xsi:type="dcterms:W3CDTF">2024-01-19T11:12:00Z</dcterms:created>
  <dcterms:modified xsi:type="dcterms:W3CDTF">2024-06-24T13:51:00Z</dcterms:modified>
</cp:coreProperties>
</file>