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94AAB" w14:textId="77777777" w:rsidR="0002697E" w:rsidRPr="00264D99" w:rsidRDefault="0002697E" w:rsidP="0002697E">
      <w:pPr>
        <w:spacing w:after="120" w:line="276" w:lineRule="auto"/>
        <w:jc w:val="right"/>
        <w:rPr>
          <w:rFonts w:ascii="Arial" w:eastAsia="Calibri" w:hAnsi="Arial" w:cs="Arial"/>
          <w:sz w:val="20"/>
          <w:szCs w:val="20"/>
        </w:rPr>
      </w:pPr>
      <w:r w:rsidRPr="00402AB8">
        <w:rPr>
          <w:rFonts w:ascii="Arial" w:eastAsia="Calibri" w:hAnsi="Arial" w:cs="Arial"/>
          <w:color w:val="0000FF"/>
          <w:sz w:val="20"/>
          <w:szCs w:val="20"/>
          <w:u w:val="single"/>
        </w:rPr>
        <w:t>TOP_PLUSZ-3.1.1-21-NG1-2022-00001</w:t>
      </w:r>
    </w:p>
    <w:p w14:paraId="0D52610F" w14:textId="77777777" w:rsidR="00396EFB" w:rsidRPr="00396EFB" w:rsidRDefault="00396EFB" w:rsidP="00396EFB">
      <w:pPr>
        <w:spacing w:after="0" w:line="240" w:lineRule="auto"/>
        <w:jc w:val="center"/>
        <w:rPr>
          <w:rFonts w:ascii="Arial" w:eastAsia="Calibri" w:hAnsi="Arial" w:cs="Arial"/>
          <w:b/>
          <w:bCs/>
          <w:iCs/>
          <w:sz w:val="20"/>
          <w:szCs w:val="20"/>
        </w:rPr>
      </w:pPr>
      <w:r w:rsidRPr="00396EFB">
        <w:rPr>
          <w:rFonts w:ascii="Arial" w:eastAsia="Calibri" w:hAnsi="Arial" w:cs="Arial"/>
          <w:b/>
          <w:bCs/>
          <w:iCs/>
          <w:sz w:val="20"/>
          <w:szCs w:val="20"/>
        </w:rPr>
        <w:t>TÁJÉKOZTATÓ</w:t>
      </w:r>
    </w:p>
    <w:p w14:paraId="2C62353F" w14:textId="77777777" w:rsidR="00396EFB" w:rsidRPr="00396EFB" w:rsidRDefault="00396EFB" w:rsidP="00396EFB">
      <w:pPr>
        <w:spacing w:after="0" w:line="240" w:lineRule="auto"/>
        <w:jc w:val="center"/>
        <w:rPr>
          <w:rFonts w:ascii="Arial" w:eastAsia="Calibri" w:hAnsi="Arial" w:cs="Arial"/>
          <w:b/>
          <w:bCs/>
          <w:iCs/>
          <w:sz w:val="20"/>
          <w:szCs w:val="20"/>
        </w:rPr>
      </w:pPr>
    </w:p>
    <w:p w14:paraId="4EA17F96" w14:textId="26E73C47" w:rsidR="00396EFB" w:rsidRPr="00396EFB" w:rsidRDefault="00396EFB" w:rsidP="00F1705F">
      <w:pPr>
        <w:jc w:val="center"/>
        <w:rPr>
          <w:rFonts w:ascii="Arial" w:eastAsia="Calibri" w:hAnsi="Arial" w:cs="Arial"/>
          <w:b/>
          <w:bCs/>
          <w:iCs/>
          <w:sz w:val="20"/>
          <w:szCs w:val="20"/>
        </w:rPr>
      </w:pPr>
      <w:r w:rsidRPr="005C541E">
        <w:rPr>
          <w:rFonts w:ascii="Arial" w:eastAsia="Calibri" w:hAnsi="Arial" w:cs="Arial"/>
          <w:b/>
          <w:sz w:val="20"/>
          <w:szCs w:val="20"/>
        </w:rPr>
        <w:t xml:space="preserve">a </w:t>
      </w:r>
      <w:r w:rsidR="00F1705F" w:rsidRPr="005C541E">
        <w:rPr>
          <w:rFonts w:ascii="Arial" w:eastAsia="Calibri" w:hAnsi="Arial" w:cs="Arial"/>
          <w:b/>
          <w:bCs/>
          <w:sz w:val="20"/>
          <w:szCs w:val="20"/>
        </w:rPr>
        <w:t>TOP_PLUSZ-3.1.1-21</w:t>
      </w:r>
      <w:r w:rsidR="009320C7" w:rsidRPr="005C541E">
        <w:rPr>
          <w:rFonts w:ascii="Arial" w:eastAsia="Calibri" w:hAnsi="Arial" w:cs="Arial"/>
          <w:b/>
          <w:bCs/>
          <w:sz w:val="20"/>
          <w:szCs w:val="20"/>
        </w:rPr>
        <w:t>-</w:t>
      </w:r>
      <w:r w:rsidR="00FE576D" w:rsidRPr="005C541E">
        <w:rPr>
          <w:rFonts w:ascii="Arial" w:hAnsi="Arial" w:cs="Arial"/>
          <w:b/>
          <w:color w:val="000000" w:themeColor="text1"/>
          <w:sz w:val="20"/>
          <w:szCs w:val="20"/>
        </w:rPr>
        <w:t>Megyei foglalkoztatási–gazdaságfejlesztési együttműködések</w:t>
      </w:r>
      <w:r w:rsidR="00FE576D" w:rsidRPr="009320C7">
        <w:rPr>
          <w:rFonts w:ascii="Arial" w:hAnsi="Arial" w:cs="Arial"/>
          <w:b/>
          <w:color w:val="000000" w:themeColor="text1"/>
        </w:rPr>
        <w:t xml:space="preserve"> </w:t>
      </w:r>
      <w:r w:rsidR="009320C7" w:rsidRPr="007E16DA">
        <w:rPr>
          <w:rFonts w:ascii="Arial" w:eastAsia="Calibri" w:hAnsi="Arial" w:cs="Arial"/>
          <w:b/>
          <w:bCs/>
          <w:color w:val="000000" w:themeColor="text1"/>
          <w:sz w:val="20"/>
          <w:szCs w:val="20"/>
        </w:rPr>
        <w:t>TOP_PLUSZ-3.1.1-21-NG1-2022-00001 „Nógrád vármegyei foglalkoztatási paktum Plusz”</w:t>
      </w:r>
      <w:r w:rsidR="009320C7" w:rsidRPr="007E16DA">
        <w:rPr>
          <w:rFonts w:ascii="Arial" w:eastAsia="Calibri" w:hAnsi="Arial" w:cs="Arial"/>
          <w:b/>
          <w:sz w:val="20"/>
          <w:szCs w:val="20"/>
        </w:rPr>
        <w:t xml:space="preserve"> </w:t>
      </w:r>
      <w:r w:rsidRPr="00396EFB">
        <w:rPr>
          <w:rFonts w:ascii="Arial" w:eastAsia="Calibri" w:hAnsi="Arial" w:cs="Arial"/>
          <w:b/>
          <w:sz w:val="20"/>
          <w:szCs w:val="20"/>
        </w:rPr>
        <w:t>elnevezésű munkaerőpiaci programból nyújtható</w:t>
      </w:r>
    </w:p>
    <w:p w14:paraId="24A88532" w14:textId="77777777" w:rsidR="00396EFB" w:rsidRPr="00396EFB" w:rsidRDefault="00396EFB" w:rsidP="00396EFB">
      <w:pPr>
        <w:autoSpaceDE w:val="0"/>
        <w:autoSpaceDN w:val="0"/>
        <w:spacing w:after="0" w:line="240" w:lineRule="auto"/>
        <w:ind w:left="126"/>
        <w:jc w:val="center"/>
        <w:rPr>
          <w:rFonts w:ascii="Arial" w:eastAsia="Calibri" w:hAnsi="Arial" w:cs="Arial"/>
          <w:b/>
          <w:sz w:val="20"/>
          <w:szCs w:val="20"/>
        </w:rPr>
      </w:pPr>
      <w:r w:rsidRPr="00396EFB">
        <w:rPr>
          <w:rFonts w:ascii="Arial" w:eastAsia="Calibri" w:hAnsi="Arial" w:cs="Arial"/>
          <w:b/>
          <w:sz w:val="20"/>
          <w:szCs w:val="20"/>
        </w:rPr>
        <w:t>HÁTRÁNYOS HELYZETŰ SZEMÉLYEK FOGLALKOZTATÁSÁHOZ KAPCSOLÓDÓ BÉRTÁMOGATÁShoz kapcsolódóan</w:t>
      </w:r>
    </w:p>
    <w:p w14:paraId="700A919F" w14:textId="77777777" w:rsidR="00396EFB" w:rsidRPr="00396EFB" w:rsidRDefault="00396EFB" w:rsidP="00396EFB">
      <w:pPr>
        <w:autoSpaceDE w:val="0"/>
        <w:autoSpaceDN w:val="0"/>
        <w:spacing w:after="0" w:line="240" w:lineRule="auto"/>
        <w:ind w:left="126"/>
        <w:jc w:val="center"/>
        <w:rPr>
          <w:rFonts w:ascii="Arial" w:eastAsia="Calibri" w:hAnsi="Arial" w:cs="Arial"/>
          <w:b/>
          <w:bCs/>
          <w:iCs/>
          <w:sz w:val="20"/>
          <w:szCs w:val="20"/>
        </w:rPr>
      </w:pPr>
    </w:p>
    <w:p w14:paraId="60818562" w14:textId="77777777" w:rsidR="00396EFB" w:rsidRPr="00396EFB" w:rsidRDefault="00396EFB" w:rsidP="00396EFB">
      <w:pPr>
        <w:widowControl w:val="0"/>
        <w:autoSpaceDE w:val="0"/>
        <w:autoSpaceDN w:val="0"/>
        <w:adjustRightInd w:val="0"/>
        <w:spacing w:after="0" w:line="240" w:lineRule="auto"/>
        <w:jc w:val="center"/>
        <w:rPr>
          <w:rFonts w:ascii="Arial" w:eastAsia="Calibri" w:hAnsi="Arial" w:cs="Arial"/>
          <w:caps/>
          <w:sz w:val="20"/>
          <w:szCs w:val="20"/>
        </w:rPr>
      </w:pPr>
      <w:bookmarkStart w:id="0" w:name="csoportment"/>
      <w:r w:rsidRPr="00396EFB">
        <w:rPr>
          <w:rFonts w:ascii="Arial" w:eastAsia="Calibri" w:hAnsi="Arial" w:cs="Arial"/>
          <w:b/>
          <w:bCs/>
          <w:iCs/>
          <w:caps/>
          <w:sz w:val="20"/>
          <w:szCs w:val="20"/>
        </w:rPr>
        <w:t>A csoportmentesség általános szabályairól</w:t>
      </w:r>
    </w:p>
    <w:bookmarkEnd w:id="0"/>
    <w:p w14:paraId="63E6EDEC" w14:textId="77777777" w:rsidR="00396EFB" w:rsidRPr="00396EFB" w:rsidRDefault="00396EFB" w:rsidP="00396EFB">
      <w:pPr>
        <w:spacing w:after="0" w:line="240" w:lineRule="auto"/>
        <w:ind w:right="-2"/>
        <w:jc w:val="both"/>
        <w:rPr>
          <w:rFonts w:ascii="Arial" w:eastAsia="Calibri" w:hAnsi="Arial" w:cs="Arial"/>
          <w:sz w:val="20"/>
          <w:szCs w:val="20"/>
        </w:rPr>
      </w:pPr>
    </w:p>
    <w:p w14:paraId="2D425119" w14:textId="77777777" w:rsidR="00396EFB" w:rsidRPr="00396EFB" w:rsidRDefault="00396EFB" w:rsidP="00396EFB">
      <w:pPr>
        <w:spacing w:after="0" w:line="240" w:lineRule="auto"/>
        <w:ind w:right="-2"/>
        <w:jc w:val="both"/>
        <w:rPr>
          <w:rFonts w:ascii="Arial" w:eastAsia="Calibri" w:hAnsi="Arial" w:cs="Arial"/>
          <w:sz w:val="20"/>
          <w:szCs w:val="20"/>
        </w:rPr>
      </w:pPr>
      <w:r w:rsidRPr="00396EFB">
        <w:rPr>
          <w:rFonts w:ascii="Arial" w:eastAsia="Calibri" w:hAnsi="Arial" w:cs="Arial"/>
          <w:sz w:val="20"/>
          <w:szCs w:val="20"/>
        </w:rPr>
        <w:t>A Szerződés 107. és 108. cikke alkalmazásában bizonyos támogatási kategóriáknak a belső piaccal összeegyeztethetőnek nyilvánításáról szóló 651/2014/EU</w:t>
      </w:r>
      <w:r w:rsidRPr="00396EFB">
        <w:rPr>
          <w:rFonts w:ascii="Arial" w:eastAsia="Calibri" w:hAnsi="Arial" w:cs="Arial"/>
          <w:color w:val="444444"/>
          <w:sz w:val="20"/>
          <w:szCs w:val="20"/>
        </w:rPr>
        <w:t xml:space="preserve"> </w:t>
      </w:r>
      <w:r w:rsidRPr="00396EFB">
        <w:rPr>
          <w:rFonts w:ascii="Arial" w:eastAsia="Calibri" w:hAnsi="Arial" w:cs="Arial"/>
          <w:sz w:val="20"/>
          <w:szCs w:val="20"/>
        </w:rPr>
        <w:t>bizottsági rendelet (továbbiakban: általános csoportmentességi rendelet) határozza meg, hogy a támogatások mely fajtáit tartja a közös piaccal összeegyeztethetőnek, melyek nem torzítják a piaci versenyt. Az e rendeletben felsorolt szabályoknak megfelelő – és a Bizottság által jóváhagyott – támogatásokat nem kell „de minimis” támogatásként értelmezni.</w:t>
      </w:r>
    </w:p>
    <w:p w14:paraId="642E082B" w14:textId="77777777" w:rsidR="00396EFB" w:rsidRPr="00396EFB" w:rsidRDefault="00396EFB" w:rsidP="00396EFB">
      <w:pPr>
        <w:spacing w:after="0" w:line="240" w:lineRule="auto"/>
        <w:jc w:val="both"/>
        <w:rPr>
          <w:rFonts w:ascii="Arial" w:eastAsia="Calibri" w:hAnsi="Arial" w:cs="Arial"/>
          <w:sz w:val="20"/>
          <w:szCs w:val="20"/>
        </w:rPr>
      </w:pPr>
    </w:p>
    <w:p w14:paraId="06277D3C" w14:textId="008C3D9E" w:rsidR="0070354D" w:rsidRPr="007E16DA" w:rsidRDefault="00396EFB" w:rsidP="009B372B">
      <w:pPr>
        <w:spacing w:after="0" w:line="240" w:lineRule="auto"/>
        <w:jc w:val="both"/>
        <w:rPr>
          <w:rFonts w:ascii="Arial" w:hAnsi="Arial" w:cs="Arial"/>
          <w:color w:val="000000" w:themeColor="text1"/>
          <w:sz w:val="20"/>
          <w:szCs w:val="20"/>
        </w:rPr>
      </w:pPr>
      <w:r w:rsidRPr="00396EFB">
        <w:rPr>
          <w:rFonts w:ascii="Arial" w:eastAsia="Calibri" w:hAnsi="Arial" w:cs="Arial"/>
          <w:sz w:val="20"/>
          <w:szCs w:val="20"/>
        </w:rPr>
        <w:t>A</w:t>
      </w:r>
      <w:r w:rsidR="005C541E">
        <w:rPr>
          <w:rFonts w:ascii="Arial" w:eastAsia="Calibri" w:hAnsi="Arial" w:cs="Arial"/>
          <w:sz w:val="20"/>
          <w:szCs w:val="20"/>
        </w:rPr>
        <w:t xml:space="preserve"> </w:t>
      </w:r>
      <w:r w:rsidR="00F1705F" w:rsidRPr="00411329">
        <w:rPr>
          <w:rFonts w:ascii="Arial" w:eastAsia="Calibri" w:hAnsi="Arial" w:cs="Arial"/>
          <w:b/>
          <w:bCs/>
          <w:sz w:val="20"/>
          <w:szCs w:val="20"/>
        </w:rPr>
        <w:t>TOP_PLUSZ-3.1.1-21-</w:t>
      </w:r>
      <w:r w:rsidR="00FE576D" w:rsidRPr="009320C7">
        <w:rPr>
          <w:rFonts w:ascii="Arial" w:eastAsia="Calibri" w:hAnsi="Arial" w:cs="Arial"/>
          <w:b/>
          <w:bCs/>
          <w:color w:val="000000" w:themeColor="text1"/>
          <w:sz w:val="20"/>
          <w:szCs w:val="20"/>
        </w:rPr>
        <w:t>Megyei foglalkoztatási-gazdaságfejlesztési együttműködések</w:t>
      </w:r>
      <w:r w:rsidR="009320C7">
        <w:rPr>
          <w:rFonts w:ascii="Arial" w:eastAsia="Calibri" w:hAnsi="Arial" w:cs="Arial"/>
          <w:b/>
          <w:bCs/>
          <w:color w:val="000000" w:themeColor="text1"/>
          <w:sz w:val="20"/>
          <w:szCs w:val="20"/>
        </w:rPr>
        <w:t xml:space="preserve"> </w:t>
      </w:r>
      <w:r w:rsidR="009320C7" w:rsidRPr="007E16DA">
        <w:rPr>
          <w:rFonts w:ascii="Arial" w:eastAsia="Calibri" w:hAnsi="Arial" w:cs="Arial"/>
          <w:b/>
          <w:bCs/>
          <w:color w:val="000000" w:themeColor="text1"/>
          <w:sz w:val="20"/>
          <w:szCs w:val="20"/>
        </w:rPr>
        <w:t xml:space="preserve">TOP_PLUSZ-3.1.1-21-NG1-2022-00001 „Nógrád vármegyei foglalkoztatási paktum Plusz” </w:t>
      </w:r>
      <w:r w:rsidRPr="007E16DA">
        <w:rPr>
          <w:rFonts w:ascii="Arial" w:eastAsia="Calibri" w:hAnsi="Arial" w:cs="Arial"/>
          <w:color w:val="000000" w:themeColor="text1"/>
          <w:sz w:val="20"/>
          <w:szCs w:val="20"/>
        </w:rPr>
        <w:t xml:space="preserve">elnevezésű munkaerőpiaci programban </w:t>
      </w:r>
      <w:r w:rsidR="00DF222A" w:rsidRPr="007E16DA">
        <w:rPr>
          <w:rFonts w:ascii="Arial" w:eastAsia="Calibri" w:hAnsi="Arial" w:cs="Arial"/>
          <w:color w:val="000000" w:themeColor="text1"/>
          <w:sz w:val="20"/>
          <w:szCs w:val="20"/>
        </w:rPr>
        <w:t xml:space="preserve">a hátrányos helyzetű személyek foglalkoztatásához </w:t>
      </w:r>
      <w:r w:rsidRPr="007E16DA">
        <w:rPr>
          <w:rFonts w:ascii="Arial" w:eastAsia="Calibri" w:hAnsi="Arial" w:cs="Arial"/>
          <w:color w:val="000000" w:themeColor="text1"/>
          <w:sz w:val="20"/>
          <w:szCs w:val="20"/>
        </w:rPr>
        <w:t xml:space="preserve">nyújtott bértámogatás megfelel a csoportmentesség szabályainak, így bértámogatás </w:t>
      </w:r>
      <w:r w:rsidR="00DF222A" w:rsidRPr="007E16DA">
        <w:rPr>
          <w:rFonts w:ascii="Arial" w:eastAsia="Calibri" w:hAnsi="Arial" w:cs="Arial"/>
          <w:color w:val="000000" w:themeColor="text1"/>
          <w:sz w:val="20"/>
          <w:szCs w:val="20"/>
        </w:rPr>
        <w:t xml:space="preserve">a munkáltató által igénybe vehető </w:t>
      </w:r>
      <w:r w:rsidRPr="007E16DA">
        <w:rPr>
          <w:rFonts w:ascii="Arial" w:eastAsia="Calibri" w:hAnsi="Arial" w:cs="Arial"/>
          <w:color w:val="000000" w:themeColor="text1"/>
          <w:sz w:val="20"/>
          <w:szCs w:val="20"/>
        </w:rPr>
        <w:t>– a kizárt ágazatok, tevékenységek, munkaadók kivételével</w:t>
      </w:r>
      <w:r w:rsidR="0070354D" w:rsidRPr="007E16DA">
        <w:rPr>
          <w:rFonts w:ascii="Arial" w:eastAsia="Calibri" w:hAnsi="Arial" w:cs="Arial"/>
          <w:color w:val="000000" w:themeColor="text1"/>
          <w:sz w:val="20"/>
          <w:szCs w:val="20"/>
        </w:rPr>
        <w:t>:</w:t>
      </w:r>
      <w:r w:rsidR="0070354D" w:rsidRPr="007E16DA">
        <w:rPr>
          <w:rFonts w:ascii="Arial" w:hAnsi="Arial" w:cs="Arial"/>
          <w:color w:val="000000" w:themeColor="text1"/>
          <w:sz w:val="20"/>
          <w:szCs w:val="20"/>
        </w:rPr>
        <w:t xml:space="preserve"> </w:t>
      </w:r>
    </w:p>
    <w:p w14:paraId="49C760F6" w14:textId="02F4D8A2" w:rsidR="0070354D" w:rsidRPr="007E16DA" w:rsidRDefault="0070354D" w:rsidP="0070354D">
      <w:pPr>
        <w:numPr>
          <w:ilvl w:val="0"/>
          <w:numId w:val="8"/>
        </w:numPr>
        <w:tabs>
          <w:tab w:val="clear" w:pos="720"/>
        </w:tabs>
        <w:spacing w:after="0" w:line="240" w:lineRule="auto"/>
        <w:ind w:left="360"/>
        <w:jc w:val="both"/>
        <w:rPr>
          <w:rFonts w:ascii="Arial" w:hAnsi="Arial" w:cs="Arial"/>
          <w:color w:val="000000" w:themeColor="text1"/>
          <w:sz w:val="20"/>
          <w:szCs w:val="20"/>
        </w:rPr>
      </w:pPr>
      <w:r w:rsidRPr="007E16DA">
        <w:rPr>
          <w:rFonts w:ascii="Arial" w:hAnsi="Arial" w:cs="Arial"/>
          <w:color w:val="000000" w:themeColor="text1"/>
          <w:sz w:val="20"/>
          <w:szCs w:val="20"/>
        </w:rPr>
        <w:t xml:space="preserve">amely exporttal kapcsolatos tevékenységet folytat, azaz nem nyújtható az exportált mennyiségekhez közvetlenül kapcsolódó támogatás, értékesítési hálózat kialakításával és működtetésével vagy exporttevékenységgel összefüggésben felmerülő egyéb folyó kiadásokkal kapcsolatos támogatás a Szerződés 107. és 108. cikke alkalmazásában bizonyos támogatási kategóriáknak a belső piaccal összeegyeztethetőnek nyilvánításáról szóló 651/2014/EU bizottsági rendelet (továbbiakban: általános csoportmentességi rendelet) (9) bekezdése és 1. cikk (2) bekezdés c) pontja szerint, </w:t>
      </w:r>
    </w:p>
    <w:p w14:paraId="00DF9F27" w14:textId="77777777" w:rsidR="0070354D" w:rsidRPr="007E16DA" w:rsidRDefault="0070354D" w:rsidP="0070354D">
      <w:pPr>
        <w:numPr>
          <w:ilvl w:val="0"/>
          <w:numId w:val="8"/>
        </w:numPr>
        <w:tabs>
          <w:tab w:val="clear" w:pos="720"/>
        </w:tabs>
        <w:spacing w:after="0" w:line="240" w:lineRule="auto"/>
        <w:ind w:left="360"/>
        <w:jc w:val="both"/>
        <w:rPr>
          <w:rFonts w:ascii="Arial" w:hAnsi="Arial" w:cs="Arial"/>
          <w:color w:val="000000" w:themeColor="text1"/>
          <w:sz w:val="20"/>
          <w:szCs w:val="20"/>
        </w:rPr>
      </w:pPr>
      <w:r w:rsidRPr="007E16DA">
        <w:rPr>
          <w:rFonts w:ascii="Arial" w:hAnsi="Arial" w:cs="Arial"/>
          <w:color w:val="000000" w:themeColor="text1"/>
          <w:sz w:val="20"/>
          <w:szCs w:val="20"/>
        </w:rPr>
        <w:t>amely nehéz helyzetben lévő vállalkozásnak minősül, az általános csoportmentességi rendelet (14) és 1. cikk (4) bekezdés c) pontja alapján (lásd mellékelt tájékoztatót is a „nehéz helyzetben lévő vállalkozás” fogalmának meghatározásáról), továbbá</w:t>
      </w:r>
    </w:p>
    <w:p w14:paraId="1DE95038" w14:textId="77777777" w:rsidR="0070354D" w:rsidRPr="007E16DA" w:rsidRDefault="0070354D" w:rsidP="0070354D">
      <w:pPr>
        <w:numPr>
          <w:ilvl w:val="0"/>
          <w:numId w:val="8"/>
        </w:numPr>
        <w:tabs>
          <w:tab w:val="clear" w:pos="720"/>
        </w:tabs>
        <w:spacing w:after="0" w:line="240" w:lineRule="auto"/>
        <w:ind w:left="360"/>
        <w:jc w:val="both"/>
        <w:rPr>
          <w:rFonts w:ascii="Arial" w:hAnsi="Arial" w:cs="Arial"/>
          <w:color w:val="000000" w:themeColor="text1"/>
          <w:sz w:val="20"/>
          <w:szCs w:val="20"/>
        </w:rPr>
      </w:pPr>
      <w:r w:rsidRPr="007E16DA">
        <w:rPr>
          <w:rFonts w:ascii="Arial" w:hAnsi="Arial" w:cs="Arial"/>
          <w:color w:val="000000" w:themeColor="text1"/>
          <w:sz w:val="20"/>
          <w:szCs w:val="20"/>
        </w:rPr>
        <w:t>amellyel szemben egy támogatást jogellenesnek és a közös piaccal összeegyeztethetetlennek nyilvánító bizottsági határozat született, és a határozaton alapuló visszafizetési kötelezettségének nem tett eleget.</w:t>
      </w:r>
    </w:p>
    <w:p w14:paraId="16A16C60" w14:textId="77777777" w:rsidR="0070354D" w:rsidRPr="007E16DA" w:rsidRDefault="0070354D" w:rsidP="00F1705F">
      <w:pPr>
        <w:rPr>
          <w:rFonts w:ascii="Arial" w:eastAsia="Calibri" w:hAnsi="Arial" w:cs="Arial"/>
          <w:color w:val="000000" w:themeColor="text1"/>
          <w:sz w:val="20"/>
          <w:szCs w:val="20"/>
        </w:rPr>
      </w:pPr>
    </w:p>
    <w:p w14:paraId="54FC3C87" w14:textId="2917CA40" w:rsidR="00396EFB" w:rsidRPr="007E16DA" w:rsidRDefault="00396EFB" w:rsidP="00F1705F">
      <w:pPr>
        <w:rPr>
          <w:rFonts w:ascii="Arial" w:eastAsia="Calibri" w:hAnsi="Arial" w:cs="Arial"/>
          <w:b/>
          <w:color w:val="000000" w:themeColor="text1"/>
          <w:sz w:val="20"/>
          <w:szCs w:val="20"/>
        </w:rPr>
      </w:pPr>
      <w:r w:rsidRPr="007E16DA">
        <w:rPr>
          <w:rFonts w:ascii="Arial" w:eastAsia="Calibri" w:hAnsi="Arial" w:cs="Arial"/>
          <w:color w:val="000000" w:themeColor="text1"/>
          <w:sz w:val="20"/>
          <w:szCs w:val="20"/>
        </w:rPr>
        <w:t>A program</w:t>
      </w:r>
      <w:r w:rsidR="00FE576D" w:rsidRPr="007E16DA">
        <w:rPr>
          <w:rFonts w:ascii="Arial" w:eastAsia="Calibri" w:hAnsi="Arial" w:cs="Arial"/>
          <w:color w:val="000000" w:themeColor="text1"/>
          <w:sz w:val="20"/>
          <w:szCs w:val="20"/>
        </w:rPr>
        <w:t>ba</w:t>
      </w:r>
      <w:r w:rsidRPr="007E16DA">
        <w:rPr>
          <w:rFonts w:ascii="Arial" w:eastAsia="Calibri" w:hAnsi="Arial" w:cs="Arial"/>
          <w:color w:val="000000" w:themeColor="text1"/>
          <w:sz w:val="20"/>
          <w:szCs w:val="20"/>
        </w:rPr>
        <w:t xml:space="preserve"> bevont álláskeresőnek a</w:t>
      </w:r>
      <w:r w:rsidR="00DF222A" w:rsidRPr="007E16DA">
        <w:rPr>
          <w:rFonts w:ascii="Arial" w:eastAsia="Calibri" w:hAnsi="Arial" w:cs="Arial"/>
          <w:color w:val="000000" w:themeColor="text1"/>
          <w:sz w:val="20"/>
          <w:szCs w:val="20"/>
        </w:rPr>
        <w:t xml:space="preserve"> Hirdetményben és a</w:t>
      </w:r>
      <w:r w:rsidR="005D0204" w:rsidRPr="007E16DA">
        <w:rPr>
          <w:rFonts w:ascii="Arial" w:eastAsia="Calibri" w:hAnsi="Arial" w:cs="Arial"/>
          <w:color w:val="000000" w:themeColor="text1"/>
          <w:sz w:val="20"/>
          <w:szCs w:val="20"/>
        </w:rPr>
        <w:t xml:space="preserve">z alábbiakban </w:t>
      </w:r>
      <w:r w:rsidRPr="007E16DA">
        <w:rPr>
          <w:rFonts w:ascii="Arial" w:eastAsia="Calibri" w:hAnsi="Arial" w:cs="Arial"/>
          <w:color w:val="000000" w:themeColor="text1"/>
          <w:sz w:val="20"/>
          <w:szCs w:val="20"/>
        </w:rPr>
        <w:t>megjelölt egyéb feltételek</w:t>
      </w:r>
      <w:r w:rsidR="00DF222A" w:rsidRPr="007E16DA">
        <w:rPr>
          <w:rFonts w:ascii="Arial" w:eastAsia="Calibri" w:hAnsi="Arial" w:cs="Arial"/>
          <w:color w:val="000000" w:themeColor="text1"/>
          <w:sz w:val="20"/>
          <w:szCs w:val="20"/>
        </w:rPr>
        <w:t>nek -m</w:t>
      </w:r>
      <w:r w:rsidR="005C541E">
        <w:rPr>
          <w:rFonts w:ascii="Arial" w:eastAsia="Calibri" w:hAnsi="Arial" w:cs="Arial"/>
          <w:color w:val="000000" w:themeColor="text1"/>
          <w:sz w:val="20"/>
          <w:szCs w:val="20"/>
        </w:rPr>
        <w:t xml:space="preserve">ind célcsoporti besorolás, mint </w:t>
      </w:r>
      <w:r w:rsidR="00DF222A" w:rsidRPr="007E16DA">
        <w:rPr>
          <w:rFonts w:ascii="Arial" w:eastAsia="Calibri" w:hAnsi="Arial" w:cs="Arial"/>
          <w:color w:val="000000" w:themeColor="text1"/>
          <w:sz w:val="20"/>
          <w:szCs w:val="20"/>
        </w:rPr>
        <w:t xml:space="preserve">a bértámogatás szempontjából </w:t>
      </w:r>
      <w:r w:rsidRPr="007E16DA">
        <w:rPr>
          <w:rFonts w:ascii="Arial" w:eastAsia="Calibri" w:hAnsi="Arial" w:cs="Arial"/>
          <w:color w:val="000000" w:themeColor="text1"/>
          <w:sz w:val="20"/>
          <w:szCs w:val="20"/>
        </w:rPr>
        <w:t>hátrányos helyzetű</w:t>
      </w:r>
      <w:r w:rsidR="00DF222A" w:rsidRPr="007E16DA">
        <w:rPr>
          <w:rFonts w:ascii="Arial" w:eastAsia="Calibri" w:hAnsi="Arial" w:cs="Arial"/>
          <w:color w:val="000000" w:themeColor="text1"/>
          <w:sz w:val="20"/>
          <w:szCs w:val="20"/>
        </w:rPr>
        <w:t>-</w:t>
      </w:r>
      <w:r w:rsidR="007E16DA" w:rsidRPr="007E16DA">
        <w:rPr>
          <w:rFonts w:ascii="Arial" w:eastAsia="Calibri" w:hAnsi="Arial" w:cs="Arial"/>
          <w:strike/>
          <w:color w:val="000000" w:themeColor="text1"/>
          <w:sz w:val="20"/>
          <w:szCs w:val="20"/>
        </w:rPr>
        <w:t xml:space="preserve"> </w:t>
      </w:r>
      <w:r w:rsidR="00DF222A" w:rsidRPr="007E16DA">
        <w:rPr>
          <w:rFonts w:ascii="Arial" w:eastAsia="Calibri" w:hAnsi="Arial" w:cs="Arial"/>
          <w:color w:val="000000" w:themeColor="text1"/>
          <w:sz w:val="20"/>
          <w:szCs w:val="20"/>
        </w:rPr>
        <w:t xml:space="preserve">is </w:t>
      </w:r>
      <w:r w:rsidRPr="007E16DA">
        <w:rPr>
          <w:rFonts w:ascii="Arial" w:eastAsia="Calibri" w:hAnsi="Arial" w:cs="Arial"/>
          <w:color w:val="000000" w:themeColor="text1"/>
          <w:sz w:val="20"/>
          <w:szCs w:val="20"/>
        </w:rPr>
        <w:t>meg kell felelnie ahhoz, hogy e támogatás az ő esetében nyújtható legyen.)</w:t>
      </w:r>
    </w:p>
    <w:p w14:paraId="6BAAD7E3" w14:textId="77777777" w:rsidR="00396EFB" w:rsidRPr="007E16DA" w:rsidRDefault="00396EFB" w:rsidP="00396EFB">
      <w:pPr>
        <w:autoSpaceDE w:val="0"/>
        <w:autoSpaceDN w:val="0"/>
        <w:spacing w:after="0" w:line="240" w:lineRule="auto"/>
        <w:ind w:left="126"/>
        <w:jc w:val="both"/>
        <w:rPr>
          <w:rFonts w:ascii="Arial" w:eastAsia="Calibri" w:hAnsi="Arial" w:cs="Arial"/>
          <w:b/>
          <w:color w:val="000000" w:themeColor="text1"/>
          <w:sz w:val="20"/>
          <w:szCs w:val="20"/>
        </w:rPr>
      </w:pPr>
      <w:r w:rsidRPr="007E16DA">
        <w:rPr>
          <w:rFonts w:ascii="Arial" w:eastAsia="Calibri" w:hAnsi="Arial" w:cs="Arial"/>
          <w:b/>
          <w:color w:val="000000" w:themeColor="text1"/>
          <w:sz w:val="20"/>
          <w:szCs w:val="20"/>
        </w:rPr>
        <w:t xml:space="preserve">A TOP_Plusz programban </w:t>
      </w:r>
      <w:r w:rsidRPr="007E16DA">
        <w:rPr>
          <w:b/>
          <w:color w:val="000000" w:themeColor="text1"/>
        </w:rPr>
        <w:t>Nógrád</w:t>
      </w:r>
      <w:r w:rsidRPr="007E16DA">
        <w:rPr>
          <w:rFonts w:ascii="Arial" w:eastAsia="Calibri" w:hAnsi="Arial" w:cs="Arial"/>
          <w:b/>
          <w:color w:val="000000" w:themeColor="text1"/>
          <w:sz w:val="20"/>
          <w:szCs w:val="20"/>
        </w:rPr>
        <w:t xml:space="preserve"> vármegye célcsoportjai:</w:t>
      </w:r>
    </w:p>
    <w:p w14:paraId="14291F4C" w14:textId="1F3FC1BD" w:rsidR="00396EFB" w:rsidRPr="005C541E" w:rsidRDefault="00396EFB" w:rsidP="00396EFB">
      <w:pPr>
        <w:pStyle w:val="Listaszerbekezds"/>
        <w:numPr>
          <w:ilvl w:val="0"/>
          <w:numId w:val="7"/>
        </w:numPr>
        <w:spacing w:before="0" w:beforeAutospacing="0" w:after="0" w:afterAutospacing="0"/>
        <w:rPr>
          <w:rFonts w:ascii="Arial" w:hAnsi="Arial" w:cs="Arial"/>
          <w:color w:val="000000" w:themeColor="text1"/>
          <w:sz w:val="20"/>
          <w:szCs w:val="20"/>
        </w:rPr>
      </w:pPr>
      <w:bookmarkStart w:id="1" w:name="_GoBack"/>
      <w:bookmarkEnd w:id="1"/>
      <w:r w:rsidRPr="005C541E">
        <w:rPr>
          <w:rFonts w:ascii="Arial" w:hAnsi="Arial" w:cs="Arial"/>
          <w:color w:val="000000" w:themeColor="text1"/>
          <w:sz w:val="20"/>
          <w:szCs w:val="20"/>
        </w:rPr>
        <w:t xml:space="preserve">Szakképzettséggel nem rendelkező nem alacsony iskolai végzettségű álláskeresők  </w:t>
      </w:r>
    </w:p>
    <w:p w14:paraId="08A25598" w14:textId="77777777" w:rsidR="00396EFB" w:rsidRPr="005C541E" w:rsidRDefault="00396EFB" w:rsidP="00396EFB">
      <w:pPr>
        <w:pStyle w:val="Listaszerbekezds"/>
        <w:numPr>
          <w:ilvl w:val="0"/>
          <w:numId w:val="7"/>
        </w:numPr>
        <w:spacing w:before="0" w:beforeAutospacing="0" w:after="0" w:afterAutospacing="0"/>
        <w:rPr>
          <w:rFonts w:ascii="Arial" w:hAnsi="Arial" w:cs="Arial"/>
          <w:color w:val="000000" w:themeColor="text1"/>
          <w:sz w:val="20"/>
          <w:szCs w:val="20"/>
        </w:rPr>
      </w:pPr>
      <w:r w:rsidRPr="005C541E">
        <w:rPr>
          <w:rFonts w:ascii="Arial" w:hAnsi="Arial" w:cs="Arial"/>
          <w:color w:val="000000" w:themeColor="text1"/>
          <w:sz w:val="20"/>
          <w:szCs w:val="20"/>
        </w:rPr>
        <w:t xml:space="preserve">Tartósan, legalább 6 hónapja regisztrált álláskeresők </w:t>
      </w:r>
    </w:p>
    <w:p w14:paraId="56BA576C" w14:textId="77777777" w:rsidR="00396EFB" w:rsidRPr="005C541E" w:rsidRDefault="00396EFB" w:rsidP="00396EFB">
      <w:pPr>
        <w:pStyle w:val="Listaszerbekezds"/>
        <w:numPr>
          <w:ilvl w:val="0"/>
          <w:numId w:val="7"/>
        </w:numPr>
        <w:spacing w:before="0" w:beforeAutospacing="0" w:after="0" w:afterAutospacing="0"/>
        <w:rPr>
          <w:rFonts w:ascii="Arial" w:hAnsi="Arial" w:cs="Arial"/>
          <w:color w:val="000000" w:themeColor="text1"/>
          <w:sz w:val="20"/>
          <w:szCs w:val="20"/>
        </w:rPr>
      </w:pPr>
      <w:r w:rsidRPr="005C541E">
        <w:rPr>
          <w:rFonts w:ascii="Arial" w:hAnsi="Arial" w:cs="Arial"/>
          <w:color w:val="000000" w:themeColor="text1"/>
          <w:sz w:val="20"/>
          <w:szCs w:val="20"/>
        </w:rPr>
        <w:t xml:space="preserve">Inaktívak  </w:t>
      </w:r>
    </w:p>
    <w:p w14:paraId="45B8B4B5" w14:textId="77777777" w:rsidR="00396EFB" w:rsidRPr="005C541E" w:rsidRDefault="00396EFB" w:rsidP="00396EFB">
      <w:pPr>
        <w:pStyle w:val="Listaszerbekezds"/>
        <w:numPr>
          <w:ilvl w:val="0"/>
          <w:numId w:val="7"/>
        </w:numPr>
        <w:spacing w:before="0" w:beforeAutospacing="0" w:after="0" w:afterAutospacing="0"/>
        <w:rPr>
          <w:rFonts w:ascii="Arial" w:eastAsia="Calibri" w:hAnsi="Arial" w:cs="Arial"/>
          <w:color w:val="000000" w:themeColor="text1"/>
          <w:sz w:val="20"/>
          <w:szCs w:val="20"/>
        </w:rPr>
      </w:pPr>
      <w:r w:rsidRPr="005C541E">
        <w:rPr>
          <w:rFonts w:ascii="Arial" w:hAnsi="Arial" w:cs="Arial"/>
          <w:color w:val="000000" w:themeColor="text1"/>
          <w:sz w:val="20"/>
          <w:szCs w:val="20"/>
        </w:rPr>
        <w:t>Közfoglalkoztatásból három hónapon belül kilépők</w:t>
      </w:r>
      <w:r w:rsidRPr="005C541E">
        <w:rPr>
          <w:rFonts w:ascii="Arial" w:eastAsia="Calibri" w:hAnsi="Arial" w:cs="Arial"/>
          <w:color w:val="000000" w:themeColor="text1"/>
          <w:sz w:val="20"/>
          <w:szCs w:val="20"/>
        </w:rPr>
        <w:t xml:space="preserve"> </w:t>
      </w:r>
    </w:p>
    <w:p w14:paraId="59F961DD" w14:textId="77777777" w:rsidR="00396EFB" w:rsidRPr="00396EFB" w:rsidRDefault="00396EFB" w:rsidP="00396EFB">
      <w:pPr>
        <w:autoSpaceDE w:val="0"/>
        <w:autoSpaceDN w:val="0"/>
        <w:adjustRightInd w:val="0"/>
        <w:spacing w:before="240" w:after="0" w:line="240" w:lineRule="auto"/>
        <w:rPr>
          <w:rFonts w:ascii="Arial" w:eastAsia="Calibri" w:hAnsi="Arial" w:cs="Arial"/>
          <w:b/>
          <w:sz w:val="20"/>
          <w:szCs w:val="20"/>
        </w:rPr>
      </w:pPr>
      <w:r w:rsidRPr="00396EFB">
        <w:rPr>
          <w:rFonts w:ascii="Arial" w:eastAsia="Calibri" w:hAnsi="Arial" w:cs="Arial"/>
          <w:b/>
          <w:sz w:val="20"/>
          <w:szCs w:val="20"/>
        </w:rPr>
        <w:t xml:space="preserve">A bértámogatás megállapítása szempontjából hátrányos helyzetű személy:  </w:t>
      </w:r>
    </w:p>
    <w:p w14:paraId="4F2C3A85" w14:textId="77777777" w:rsidR="00396EFB" w:rsidRPr="00396EFB" w:rsidRDefault="00396EFB" w:rsidP="00396EFB">
      <w:pPr>
        <w:numPr>
          <w:ilvl w:val="0"/>
          <w:numId w:val="6"/>
        </w:numPr>
        <w:autoSpaceDE w:val="0"/>
        <w:autoSpaceDN w:val="0"/>
        <w:adjustRightInd w:val="0"/>
        <w:spacing w:after="0" w:line="240" w:lineRule="auto"/>
        <w:jc w:val="both"/>
        <w:rPr>
          <w:rFonts w:ascii="Arial" w:eastAsia="Calibri" w:hAnsi="Arial" w:cs="Arial"/>
          <w:sz w:val="20"/>
          <w:szCs w:val="20"/>
          <w:lang w:eastAsia="hu-HU"/>
        </w:rPr>
      </w:pPr>
      <w:r w:rsidRPr="00396EFB">
        <w:rPr>
          <w:rFonts w:ascii="Arial" w:eastAsia="Calibri" w:hAnsi="Arial" w:cs="Arial"/>
          <w:sz w:val="20"/>
          <w:szCs w:val="20"/>
          <w:lang w:eastAsia="hu-HU"/>
        </w:rPr>
        <w:t xml:space="preserve">az előző 6 hónapban nem állt rendszeres, fizetett alkalmazásban, </w:t>
      </w:r>
    </w:p>
    <w:p w14:paraId="6ECDD4FC" w14:textId="77777777" w:rsidR="00396EFB" w:rsidRPr="00396EFB" w:rsidRDefault="00396EFB" w:rsidP="00396EFB">
      <w:pPr>
        <w:numPr>
          <w:ilvl w:val="0"/>
          <w:numId w:val="6"/>
        </w:numPr>
        <w:autoSpaceDE w:val="0"/>
        <w:autoSpaceDN w:val="0"/>
        <w:adjustRightInd w:val="0"/>
        <w:spacing w:after="0" w:line="240" w:lineRule="auto"/>
        <w:jc w:val="both"/>
        <w:rPr>
          <w:rFonts w:ascii="Arial" w:eastAsia="Calibri" w:hAnsi="Arial" w:cs="Arial"/>
          <w:sz w:val="20"/>
          <w:szCs w:val="20"/>
          <w:lang w:eastAsia="hu-HU"/>
        </w:rPr>
      </w:pPr>
      <w:r w:rsidRPr="00396EFB">
        <w:rPr>
          <w:rFonts w:ascii="Arial" w:eastAsia="Calibri" w:hAnsi="Arial" w:cs="Arial"/>
          <w:sz w:val="20"/>
          <w:szCs w:val="20"/>
          <w:lang w:eastAsia="hu-HU"/>
        </w:rPr>
        <w:t xml:space="preserve">nem szerzett középfokú végzettséget vagy szakmai képesítést (az oktatás egységes nemzetközi osztályozási rendszerének 3. szintje), vagy a nappali tagozatos tanulmányait legfeljebb két éve fejezte be, és még nem állt rendszeres, fizetett alkalmazásban), </w:t>
      </w:r>
    </w:p>
    <w:p w14:paraId="6970AB20" w14:textId="77777777" w:rsidR="00396EFB" w:rsidRPr="00396EFB" w:rsidRDefault="00396EFB" w:rsidP="00396EFB">
      <w:pPr>
        <w:numPr>
          <w:ilvl w:val="0"/>
          <w:numId w:val="6"/>
        </w:numPr>
        <w:autoSpaceDE w:val="0"/>
        <w:autoSpaceDN w:val="0"/>
        <w:adjustRightInd w:val="0"/>
        <w:spacing w:after="0" w:line="240" w:lineRule="auto"/>
        <w:jc w:val="both"/>
        <w:rPr>
          <w:rFonts w:ascii="Arial" w:eastAsia="Calibri" w:hAnsi="Arial" w:cs="Arial"/>
          <w:sz w:val="20"/>
          <w:szCs w:val="20"/>
          <w:lang w:eastAsia="hu-HU"/>
        </w:rPr>
      </w:pPr>
      <w:r w:rsidRPr="00396EFB">
        <w:rPr>
          <w:rFonts w:ascii="Arial" w:eastAsia="Calibri" w:hAnsi="Arial" w:cs="Arial"/>
          <w:sz w:val="20"/>
          <w:szCs w:val="20"/>
          <w:lang w:eastAsia="hu-HU"/>
        </w:rPr>
        <w:t xml:space="preserve">az 50 éven felüli életkorú személyek, </w:t>
      </w:r>
    </w:p>
    <w:p w14:paraId="2261D3E7" w14:textId="77777777" w:rsidR="00396EFB" w:rsidRPr="00396EFB" w:rsidRDefault="00396EFB" w:rsidP="00396EFB">
      <w:pPr>
        <w:numPr>
          <w:ilvl w:val="0"/>
          <w:numId w:val="6"/>
        </w:numPr>
        <w:autoSpaceDE w:val="0"/>
        <w:autoSpaceDN w:val="0"/>
        <w:adjustRightInd w:val="0"/>
        <w:spacing w:after="0" w:line="240" w:lineRule="auto"/>
        <w:jc w:val="both"/>
        <w:rPr>
          <w:rFonts w:ascii="Arial" w:eastAsia="Calibri" w:hAnsi="Arial" w:cs="Arial"/>
          <w:sz w:val="20"/>
          <w:szCs w:val="20"/>
          <w:lang w:eastAsia="hu-HU"/>
        </w:rPr>
      </w:pPr>
      <w:r w:rsidRPr="00396EFB">
        <w:rPr>
          <w:rFonts w:ascii="Arial" w:eastAsia="Calibri" w:hAnsi="Arial" w:cs="Arial"/>
          <w:sz w:val="20"/>
          <w:szCs w:val="20"/>
          <w:lang w:eastAsia="hu-HU"/>
        </w:rPr>
        <w:t>az egy vagy több eltartottal egyedül élő felnőttek</w:t>
      </w:r>
    </w:p>
    <w:p w14:paraId="1E0B0043" w14:textId="4C69EDC5" w:rsidR="00396EFB" w:rsidRDefault="00396EFB" w:rsidP="00396EFB">
      <w:pPr>
        <w:spacing w:after="0" w:line="240" w:lineRule="auto"/>
        <w:jc w:val="both"/>
        <w:rPr>
          <w:rFonts w:ascii="Arial" w:eastAsia="Calibri" w:hAnsi="Arial" w:cs="Arial"/>
          <w:sz w:val="20"/>
          <w:szCs w:val="20"/>
        </w:rPr>
      </w:pPr>
    </w:p>
    <w:p w14:paraId="16D36C58" w14:textId="47F03446" w:rsidR="007E16DA" w:rsidRDefault="007E16DA" w:rsidP="00396EFB">
      <w:pPr>
        <w:spacing w:after="0" w:line="240" w:lineRule="auto"/>
        <w:jc w:val="both"/>
        <w:rPr>
          <w:rFonts w:ascii="Arial" w:eastAsia="Calibri" w:hAnsi="Arial" w:cs="Arial"/>
          <w:sz w:val="20"/>
          <w:szCs w:val="20"/>
        </w:rPr>
      </w:pPr>
    </w:p>
    <w:p w14:paraId="65124622" w14:textId="77777777" w:rsidR="007E16DA" w:rsidRPr="00396EFB" w:rsidRDefault="007E16DA" w:rsidP="00396EFB">
      <w:pPr>
        <w:spacing w:after="0" w:line="240" w:lineRule="auto"/>
        <w:jc w:val="both"/>
        <w:rPr>
          <w:rFonts w:ascii="Arial" w:eastAsia="Calibri" w:hAnsi="Arial" w:cs="Arial"/>
          <w:sz w:val="20"/>
          <w:szCs w:val="20"/>
        </w:rPr>
      </w:pPr>
    </w:p>
    <w:p w14:paraId="4EA4397A" w14:textId="77777777" w:rsidR="00843BDE" w:rsidRPr="007E16DA" w:rsidRDefault="00843BDE" w:rsidP="00843BDE">
      <w:pPr>
        <w:jc w:val="both"/>
        <w:rPr>
          <w:rFonts w:ascii="Arial" w:hAnsi="Arial" w:cs="Arial"/>
          <w:b/>
          <w:color w:val="000000" w:themeColor="text1"/>
          <w:sz w:val="20"/>
          <w:szCs w:val="20"/>
        </w:rPr>
      </w:pPr>
      <w:r w:rsidRPr="007E16DA">
        <w:rPr>
          <w:rFonts w:ascii="Arial" w:hAnsi="Arial" w:cs="Arial"/>
          <w:b/>
          <w:color w:val="000000" w:themeColor="text1"/>
          <w:sz w:val="20"/>
          <w:szCs w:val="20"/>
        </w:rPr>
        <w:lastRenderedPageBreak/>
        <w:t>A támogatás igénybevételének egyéb feltételei</w:t>
      </w:r>
    </w:p>
    <w:p w14:paraId="0D3DE6AC" w14:textId="77777777" w:rsidR="00843BDE" w:rsidRPr="007E16DA" w:rsidRDefault="00843BDE" w:rsidP="00843BDE">
      <w:pPr>
        <w:pStyle w:val="NormlWeb"/>
        <w:spacing w:before="0" w:beforeAutospacing="0" w:after="0" w:afterAutospacing="0"/>
        <w:ind w:right="147"/>
        <w:jc w:val="both"/>
        <w:rPr>
          <w:rFonts w:ascii="Arial" w:hAnsi="Arial" w:cs="Arial"/>
          <w:color w:val="000000" w:themeColor="text1"/>
          <w:sz w:val="20"/>
          <w:szCs w:val="20"/>
        </w:rPr>
      </w:pPr>
    </w:p>
    <w:p w14:paraId="1AC716CC" w14:textId="2B69D617" w:rsidR="00843BDE" w:rsidRPr="007E16DA" w:rsidRDefault="00843BDE" w:rsidP="00843BDE">
      <w:pPr>
        <w:pStyle w:val="NormlWeb"/>
        <w:spacing w:before="0" w:beforeAutospacing="0" w:after="0" w:afterAutospacing="0"/>
        <w:ind w:right="147"/>
        <w:jc w:val="both"/>
        <w:rPr>
          <w:rFonts w:ascii="Arial" w:hAnsi="Arial" w:cs="Arial"/>
          <w:color w:val="000000" w:themeColor="text1"/>
          <w:sz w:val="20"/>
          <w:szCs w:val="20"/>
        </w:rPr>
      </w:pPr>
      <w:r w:rsidRPr="007E16DA">
        <w:rPr>
          <w:rFonts w:ascii="Arial" w:hAnsi="Arial" w:cs="Arial"/>
          <w:color w:val="000000" w:themeColor="text1"/>
          <w:sz w:val="20"/>
          <w:szCs w:val="20"/>
        </w:rPr>
        <w:t xml:space="preserve">Az általános csoportmentességi rendelet I. fejezet 4. cikkének (1) bekezdés o), p) pontjai alapján az adott pénzügyi évben hátrányos helyzetű személy elhelyezkedésére tekintettel munkabér és szociális hozzájárulási adója címen kapott összes állami támogatás támogatástartalma jelen támogatással együtt nem haladja meg </w:t>
      </w:r>
      <w:r w:rsidRPr="000342E7">
        <w:rPr>
          <w:rFonts w:ascii="Arial" w:hAnsi="Arial" w:cs="Arial"/>
          <w:color w:val="000000" w:themeColor="text1"/>
          <w:sz w:val="20"/>
          <w:szCs w:val="20"/>
        </w:rPr>
        <w:t xml:space="preserve">az </w:t>
      </w:r>
      <w:r w:rsidRPr="00E44E65">
        <w:rPr>
          <w:rFonts w:ascii="Arial" w:hAnsi="Arial" w:cs="Arial"/>
          <w:color w:val="auto"/>
          <w:sz w:val="20"/>
          <w:szCs w:val="20"/>
        </w:rPr>
        <w:t>évi 5</w:t>
      </w:r>
      <w:r w:rsidR="000342E7" w:rsidRPr="00E44E65">
        <w:rPr>
          <w:rFonts w:ascii="Arial" w:hAnsi="Arial" w:cs="Arial"/>
          <w:color w:val="auto"/>
          <w:sz w:val="20"/>
          <w:szCs w:val="20"/>
        </w:rPr>
        <w:t>,5</w:t>
      </w:r>
      <w:r w:rsidRPr="00E44E65">
        <w:rPr>
          <w:rFonts w:ascii="Arial" w:hAnsi="Arial" w:cs="Arial"/>
          <w:color w:val="auto"/>
          <w:sz w:val="20"/>
          <w:szCs w:val="20"/>
        </w:rPr>
        <w:t xml:space="preserve"> </w:t>
      </w:r>
      <w:r w:rsidRPr="000342E7">
        <w:rPr>
          <w:rFonts w:ascii="Arial" w:hAnsi="Arial" w:cs="Arial"/>
          <w:color w:val="000000" w:themeColor="text1"/>
          <w:sz w:val="20"/>
          <w:szCs w:val="20"/>
        </w:rPr>
        <w:t>millió</w:t>
      </w:r>
      <w:r w:rsidRPr="007E16DA">
        <w:rPr>
          <w:rFonts w:ascii="Arial" w:hAnsi="Arial" w:cs="Arial"/>
          <w:color w:val="000000" w:themeColor="text1"/>
          <w:sz w:val="20"/>
          <w:szCs w:val="20"/>
        </w:rPr>
        <w:t xml:space="preserve"> euró értéknek megfelelő összeget. </w:t>
      </w:r>
    </w:p>
    <w:p w14:paraId="62C2606E" w14:textId="77777777" w:rsidR="00843BDE" w:rsidRPr="007E16DA" w:rsidRDefault="00843BDE" w:rsidP="00843BDE">
      <w:pPr>
        <w:pStyle w:val="NormlWeb"/>
        <w:spacing w:before="60" w:beforeAutospacing="0" w:after="0" w:afterAutospacing="0"/>
        <w:ind w:right="147"/>
        <w:jc w:val="both"/>
        <w:rPr>
          <w:rFonts w:ascii="Arial" w:hAnsi="Arial" w:cs="Arial"/>
          <w:color w:val="000000" w:themeColor="text1"/>
          <w:sz w:val="20"/>
          <w:szCs w:val="20"/>
        </w:rPr>
      </w:pPr>
    </w:p>
    <w:p w14:paraId="55FA515F" w14:textId="339A89BF" w:rsidR="00843BDE" w:rsidRPr="007E16DA" w:rsidRDefault="00843BDE" w:rsidP="00843BDE">
      <w:pPr>
        <w:pStyle w:val="NormlWeb"/>
        <w:spacing w:before="0" w:beforeAutospacing="0" w:after="0" w:afterAutospacing="0"/>
        <w:ind w:right="147"/>
        <w:jc w:val="both"/>
        <w:rPr>
          <w:rFonts w:ascii="Arial" w:hAnsi="Arial" w:cs="Arial"/>
          <w:strike/>
          <w:color w:val="000000" w:themeColor="text1"/>
          <w:sz w:val="20"/>
          <w:szCs w:val="20"/>
        </w:rPr>
      </w:pPr>
      <w:r w:rsidRPr="007E16DA">
        <w:rPr>
          <w:rFonts w:ascii="Arial" w:hAnsi="Arial" w:cs="Arial"/>
          <w:color w:val="000000" w:themeColor="text1"/>
          <w:sz w:val="20"/>
          <w:szCs w:val="20"/>
        </w:rPr>
        <w:t>Más állami támogatással vagy más közösségi finanszírozással ugyanazokra a költségekre (munkabér és szociális hozzájárulási adója) vonatkozóan kapott támogatás bruttó támogatási intenzitása jelen támogatással együtt nem haladja meg hátrányos helyzetű álláskereső foglalkoztatása esetén a bérköltségek 50%-át</w:t>
      </w:r>
      <w:r w:rsidR="007E16DA">
        <w:rPr>
          <w:rFonts w:ascii="Arial" w:hAnsi="Arial" w:cs="Arial"/>
          <w:color w:val="000000" w:themeColor="text1"/>
          <w:sz w:val="20"/>
          <w:szCs w:val="20"/>
        </w:rPr>
        <w:t>.</w:t>
      </w:r>
    </w:p>
    <w:p w14:paraId="2715DEC9" w14:textId="6F69CFDA" w:rsidR="00396EFB" w:rsidRPr="00396EFB" w:rsidRDefault="00396EFB" w:rsidP="00396EFB">
      <w:pPr>
        <w:spacing w:after="0" w:line="240" w:lineRule="auto"/>
        <w:jc w:val="both"/>
        <w:rPr>
          <w:rFonts w:ascii="Arial" w:eastAsia="Calibri" w:hAnsi="Arial" w:cs="Arial"/>
          <w:sz w:val="20"/>
          <w:szCs w:val="20"/>
        </w:rPr>
      </w:pPr>
      <w:r w:rsidRPr="007E16DA">
        <w:rPr>
          <w:rFonts w:ascii="Arial" w:eastAsia="Calibri" w:hAnsi="Arial" w:cs="Arial"/>
          <w:color w:val="000000" w:themeColor="text1"/>
          <w:sz w:val="20"/>
          <w:szCs w:val="20"/>
        </w:rPr>
        <w:t>Amennyiben a foglalkoztatni kívánt álláskereső nem tekinthető hátrányos helyzetűnek</w:t>
      </w:r>
      <w:r w:rsidR="007E16DA">
        <w:rPr>
          <w:rFonts w:ascii="Arial" w:eastAsia="Calibri" w:hAnsi="Arial" w:cs="Arial"/>
          <w:color w:val="000000" w:themeColor="text1"/>
          <w:sz w:val="20"/>
          <w:szCs w:val="20"/>
        </w:rPr>
        <w:t xml:space="preserve"> </w:t>
      </w:r>
      <w:r w:rsidRPr="007E16DA">
        <w:rPr>
          <w:rFonts w:ascii="Arial" w:eastAsia="Calibri" w:hAnsi="Arial" w:cs="Arial"/>
          <w:color w:val="000000" w:themeColor="text1"/>
          <w:sz w:val="20"/>
          <w:szCs w:val="20"/>
        </w:rPr>
        <w:t>és/vagy az általános csoportmentességi rendelet által kizárt az ágazat/tevékenység/munkaadó, akkor a munkaadó</w:t>
      </w:r>
      <w:r w:rsidRPr="007E16DA">
        <w:rPr>
          <w:rFonts w:ascii="Arial" w:eastAsia="Calibri" w:hAnsi="Arial" w:cs="Arial"/>
          <w:b/>
          <w:color w:val="000000" w:themeColor="text1"/>
          <w:sz w:val="20"/>
          <w:szCs w:val="20"/>
        </w:rPr>
        <w:t xml:space="preserve"> </w:t>
      </w:r>
      <w:r w:rsidRPr="007E16DA">
        <w:rPr>
          <w:rFonts w:ascii="Arial" w:eastAsia="Calibri" w:hAnsi="Arial" w:cs="Arial"/>
          <w:color w:val="000000" w:themeColor="text1"/>
          <w:sz w:val="20"/>
          <w:szCs w:val="20"/>
        </w:rPr>
        <w:t xml:space="preserve">a munkaerőpiaci programban </w:t>
      </w:r>
      <w:r w:rsidRPr="00396EFB">
        <w:rPr>
          <w:rFonts w:ascii="Arial" w:eastAsia="Calibri" w:hAnsi="Arial" w:cs="Arial"/>
          <w:sz w:val="20"/>
          <w:szCs w:val="20"/>
        </w:rPr>
        <w:t>de minimis támogatást kaphat, de természetesen csak akkor, amennyiben azon de minimis támogatás feltételeinek, mint munkaadó, megfelel.</w:t>
      </w:r>
    </w:p>
    <w:p w14:paraId="0D1093B3" w14:textId="61B91685" w:rsidR="00396EFB" w:rsidRPr="00396EFB" w:rsidRDefault="00396EFB" w:rsidP="00396EFB">
      <w:pPr>
        <w:spacing w:after="0" w:line="240" w:lineRule="auto"/>
        <w:jc w:val="both"/>
        <w:rPr>
          <w:rFonts w:ascii="Arial" w:eastAsia="Calibri" w:hAnsi="Arial" w:cs="Arial"/>
          <w:sz w:val="20"/>
          <w:szCs w:val="20"/>
        </w:rPr>
      </w:pPr>
      <w:r w:rsidRPr="00396EFB">
        <w:rPr>
          <w:rFonts w:ascii="Arial" w:eastAsia="Calibri" w:hAnsi="Arial" w:cs="Arial"/>
          <w:sz w:val="20"/>
          <w:szCs w:val="20"/>
        </w:rPr>
        <w:t xml:space="preserve">A támogatások további feltételeiről tájékozódhat a </w:t>
      </w:r>
      <w:hyperlink r:id="rId7" w:history="1">
        <w:r w:rsidR="00670C7D" w:rsidRPr="007347D6">
          <w:rPr>
            <w:rStyle w:val="Hiperhivatkozs"/>
            <w:rFonts w:ascii="Arial" w:hAnsi="Arial" w:cs="Arial"/>
            <w:sz w:val="20"/>
            <w:szCs w:val="20"/>
          </w:rPr>
          <w:t>www.nograd.munka.hu</w:t>
        </w:r>
      </w:hyperlink>
      <w:r w:rsidR="00670C7D">
        <w:rPr>
          <w:rStyle w:val="Hiperhivatkozs"/>
          <w:rFonts w:ascii="Arial" w:hAnsi="Arial" w:cs="Arial"/>
          <w:sz w:val="20"/>
          <w:szCs w:val="20"/>
        </w:rPr>
        <w:t xml:space="preserve"> illetve a </w:t>
      </w:r>
      <w:hyperlink r:id="rId8" w:history="1">
        <w:r w:rsidRPr="00396EFB">
          <w:rPr>
            <w:rFonts w:ascii="Arial" w:eastAsia="Calibri" w:hAnsi="Arial" w:cs="Arial"/>
            <w:color w:val="0000FF"/>
            <w:sz w:val="20"/>
            <w:szCs w:val="20"/>
            <w:u w:val="single"/>
          </w:rPr>
          <w:t>https://nfsz.munka.hu</w:t>
        </w:r>
      </w:hyperlink>
      <w:r w:rsidRPr="00396EFB">
        <w:rPr>
          <w:rFonts w:ascii="Arial" w:eastAsia="Calibri" w:hAnsi="Arial" w:cs="Arial"/>
          <w:sz w:val="20"/>
          <w:szCs w:val="20"/>
        </w:rPr>
        <w:t xml:space="preserve"> oldalon, illetve a járási hivatal állami foglalkoztatási szervként eljáró egységénél.</w:t>
      </w:r>
    </w:p>
    <w:p w14:paraId="4FFEE2DD" w14:textId="77777777" w:rsidR="00396EFB" w:rsidRPr="00396EFB" w:rsidRDefault="00396EFB" w:rsidP="00396EFB">
      <w:pPr>
        <w:spacing w:after="0" w:line="240" w:lineRule="auto"/>
        <w:jc w:val="both"/>
        <w:rPr>
          <w:rFonts w:ascii="Arial" w:eastAsia="Calibri" w:hAnsi="Arial" w:cs="Arial"/>
          <w:sz w:val="20"/>
          <w:szCs w:val="20"/>
        </w:rPr>
      </w:pPr>
    </w:p>
    <w:sectPr w:rsidR="00396EFB" w:rsidRPr="00396EFB" w:rsidSect="00310400">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C395C" w14:textId="77777777" w:rsidR="00310400" w:rsidRDefault="00310400" w:rsidP="00310400">
      <w:pPr>
        <w:spacing w:after="0" w:line="240" w:lineRule="auto"/>
      </w:pPr>
      <w:r>
        <w:separator/>
      </w:r>
    </w:p>
  </w:endnote>
  <w:endnote w:type="continuationSeparator" w:id="0">
    <w:p w14:paraId="2DBF29E3" w14:textId="77777777" w:rsidR="00310400" w:rsidRDefault="00310400" w:rsidP="00310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95EF9" w14:textId="4DA2E490" w:rsidR="00310400" w:rsidRPr="00310400" w:rsidRDefault="000D6624" w:rsidP="00310400">
    <w:pPr>
      <w:pBdr>
        <w:between w:val="single" w:sz="2" w:space="1" w:color="auto"/>
      </w:pBdr>
      <w:autoSpaceDE w:val="0"/>
      <w:autoSpaceDN w:val="0"/>
      <w:adjustRightInd w:val="0"/>
      <w:spacing w:after="200" w:line="200" w:lineRule="atLeast"/>
      <w:ind w:right="3116"/>
      <w:textAlignment w:val="center"/>
      <w:rPr>
        <w:rFonts w:ascii="Arial" w:eastAsia="Calibri" w:hAnsi="Arial" w:cs="Arial"/>
        <w:i/>
        <w:color w:val="000000"/>
        <w:spacing w:val="2"/>
        <w:sz w:val="20"/>
        <w:szCs w:val="20"/>
      </w:rPr>
    </w:pPr>
    <w:r w:rsidRPr="000D6624">
      <w:rPr>
        <w:rFonts w:ascii="Arial" w:eastAsia="Calibri" w:hAnsi="Arial" w:cs="Arial"/>
        <w:b/>
        <w:i/>
        <w:noProof/>
        <w:sz w:val="20"/>
        <w:szCs w:val="20"/>
        <w:highlight w:val="yellow"/>
        <w:lang w:eastAsia="hu-HU"/>
      </w:rPr>
      <w:drawing>
        <wp:anchor distT="0" distB="0" distL="114300" distR="114300" simplePos="0" relativeHeight="251659264" behindDoc="1" locked="0" layoutInCell="1" allowOverlap="1" wp14:anchorId="089B06D7" wp14:editId="3E620C65">
          <wp:simplePos x="0" y="0"/>
          <wp:positionH relativeFrom="page">
            <wp:posOffset>3482060</wp:posOffset>
          </wp:positionH>
          <wp:positionV relativeFrom="page">
            <wp:posOffset>9491294</wp:posOffset>
          </wp:positionV>
          <wp:extent cx="4168202" cy="1362075"/>
          <wp:effectExtent l="0" t="0" r="3810" b="0"/>
          <wp:wrapTight wrapText="bothSides">
            <wp:wrapPolygon edited="0">
              <wp:start x="0" y="0"/>
              <wp:lineTo x="0" y="21147"/>
              <wp:lineTo x="21521" y="21147"/>
              <wp:lineTo x="21521" y="0"/>
              <wp:lineTo x="0" y="0"/>
            </wp:wrapPolygon>
          </wp:wrapTight>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68202" cy="1362075"/>
                  </a:xfrm>
                  <a:prstGeom prst="rect">
                    <a:avLst/>
                  </a:prstGeom>
                  <a:noFill/>
                  <a:ln>
                    <a:noFill/>
                  </a:ln>
                </pic:spPr>
              </pic:pic>
            </a:graphicData>
          </a:graphic>
        </wp:anchor>
      </w:drawing>
    </w:r>
  </w:p>
  <w:p w14:paraId="04FD18C7" w14:textId="77777777" w:rsidR="00310400" w:rsidRDefault="0031040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BC8E3" w14:textId="77777777" w:rsidR="00310400" w:rsidRDefault="00310400" w:rsidP="00310400">
      <w:pPr>
        <w:spacing w:after="0" w:line="240" w:lineRule="auto"/>
      </w:pPr>
      <w:r>
        <w:separator/>
      </w:r>
    </w:p>
  </w:footnote>
  <w:footnote w:type="continuationSeparator" w:id="0">
    <w:p w14:paraId="338A9286" w14:textId="77777777" w:rsidR="00310400" w:rsidRDefault="00310400" w:rsidP="00310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E892A" w14:textId="03105249" w:rsidR="00310400" w:rsidRDefault="00E44E65" w:rsidP="00E44E65">
    <w:pPr>
      <w:pStyle w:val="lfej"/>
      <w:jc w:val="center"/>
    </w:pPr>
    <w:r w:rsidRPr="00EB4CC1">
      <w:rPr>
        <w:noProof/>
        <w:lang w:eastAsia="hu-HU"/>
      </w:rPr>
      <w:drawing>
        <wp:inline distT="0" distB="0" distL="0" distR="0" wp14:anchorId="2431714B" wp14:editId="17D41BA0">
          <wp:extent cx="895350" cy="610466"/>
          <wp:effectExtent l="0" t="0" r="0" b="0"/>
          <wp:docPr id="19" name="Kép 19" descr="VmKH-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mKH-s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185" cy="6246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2A8"/>
    <w:multiLevelType w:val="hybridMultilevel"/>
    <w:tmpl w:val="EAB2454E"/>
    <w:lvl w:ilvl="0" w:tplc="CE4CF038">
      <w:start w:val="1"/>
      <w:numFmt w:val="bullet"/>
      <w:lvlText w:val=""/>
      <w:lvlJc w:val="left"/>
      <w:pPr>
        <w:tabs>
          <w:tab w:val="num" w:pos="720"/>
        </w:tabs>
        <w:ind w:left="720" w:hanging="360"/>
      </w:pPr>
      <w:rPr>
        <w:rFonts w:ascii="Symbol" w:hAnsi="Symbol" w:hint="default"/>
      </w:rPr>
    </w:lvl>
    <w:lvl w:ilvl="1" w:tplc="3C5AC3C0">
      <w:start w:val="1"/>
      <w:numFmt w:val="bullet"/>
      <w:lvlText w:val=""/>
      <w:lvlJc w:val="left"/>
      <w:pPr>
        <w:tabs>
          <w:tab w:val="num" w:pos="1440"/>
        </w:tabs>
        <w:ind w:left="1440" w:hanging="360"/>
      </w:pPr>
      <w:rPr>
        <w:rFonts w:ascii="Symbol" w:hAnsi="Symbol" w:hint="default"/>
        <w:b w:val="0"/>
        <w:i w:val="0"/>
        <w:sz w:val="24"/>
        <w:szCs w:val="24"/>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6D0676"/>
    <w:multiLevelType w:val="hybridMultilevel"/>
    <w:tmpl w:val="26B69D24"/>
    <w:lvl w:ilvl="0" w:tplc="DDCEC34E">
      <w:start w:val="1"/>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1FC7945"/>
    <w:multiLevelType w:val="hybridMultilevel"/>
    <w:tmpl w:val="58E0F65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BBD77CE"/>
    <w:multiLevelType w:val="hybridMultilevel"/>
    <w:tmpl w:val="A9EA1746"/>
    <w:lvl w:ilvl="0" w:tplc="54104CF4">
      <w:start w:val="1"/>
      <w:numFmt w:val="decimal"/>
      <w:lvlText w:val="%1."/>
      <w:lvlJc w:val="left"/>
      <w:pPr>
        <w:tabs>
          <w:tab w:val="num" w:pos="360"/>
        </w:tabs>
        <w:ind w:left="360" w:hanging="360"/>
      </w:pPr>
      <w:rPr>
        <w:rFonts w:hint="default"/>
        <w:b w:val="0"/>
      </w:rPr>
    </w:lvl>
    <w:lvl w:ilvl="1" w:tplc="E1B8FF9C">
      <w:start w:val="1"/>
      <w:numFmt w:val="bullet"/>
      <w:lvlText w:val=""/>
      <w:lvlJc w:val="left"/>
      <w:pPr>
        <w:tabs>
          <w:tab w:val="num" w:pos="928"/>
        </w:tabs>
        <w:ind w:left="928" w:hanging="360"/>
      </w:pPr>
      <w:rPr>
        <w:rFonts w:ascii="Symbol" w:hAnsi="Symbol" w:hint="default"/>
        <w:b w:val="0"/>
        <w:color w:val="auto"/>
      </w:rPr>
    </w:lvl>
    <w:lvl w:ilvl="2" w:tplc="040E001B">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15:restartNumberingAfterBreak="0">
    <w:nsid w:val="53291859"/>
    <w:multiLevelType w:val="hybridMultilevel"/>
    <w:tmpl w:val="C87CDB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606D7317"/>
    <w:multiLevelType w:val="hybridMultilevel"/>
    <w:tmpl w:val="B47EC0B6"/>
    <w:lvl w:ilvl="0" w:tplc="D068B516">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7D782C29"/>
    <w:multiLevelType w:val="hybridMultilevel"/>
    <w:tmpl w:val="C87CDB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7DD80980"/>
    <w:multiLevelType w:val="hybridMultilevel"/>
    <w:tmpl w:val="2C18F6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7"/>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400"/>
    <w:rsid w:val="00000ED5"/>
    <w:rsid w:val="0002697E"/>
    <w:rsid w:val="000342E7"/>
    <w:rsid w:val="000D6624"/>
    <w:rsid w:val="00184E9E"/>
    <w:rsid w:val="00227072"/>
    <w:rsid w:val="00235A1C"/>
    <w:rsid w:val="0024425E"/>
    <w:rsid w:val="00310400"/>
    <w:rsid w:val="00396EFB"/>
    <w:rsid w:val="004E6DD9"/>
    <w:rsid w:val="005C541E"/>
    <w:rsid w:val="005D0204"/>
    <w:rsid w:val="00644943"/>
    <w:rsid w:val="00670C7D"/>
    <w:rsid w:val="0070354D"/>
    <w:rsid w:val="007347D6"/>
    <w:rsid w:val="007820AA"/>
    <w:rsid w:val="007C4A59"/>
    <w:rsid w:val="007E16DA"/>
    <w:rsid w:val="00843BDE"/>
    <w:rsid w:val="00893C53"/>
    <w:rsid w:val="009320C7"/>
    <w:rsid w:val="00946C31"/>
    <w:rsid w:val="00990256"/>
    <w:rsid w:val="009B372B"/>
    <w:rsid w:val="00A044CD"/>
    <w:rsid w:val="00DA2C58"/>
    <w:rsid w:val="00DF222A"/>
    <w:rsid w:val="00E44E65"/>
    <w:rsid w:val="00E94A3A"/>
    <w:rsid w:val="00EE6057"/>
    <w:rsid w:val="00F1705F"/>
    <w:rsid w:val="00F22322"/>
    <w:rsid w:val="00FE576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FD71A"/>
  <w15:chartTrackingRefBased/>
  <w15:docId w15:val="{7315E913-6AB7-488C-8334-8712115C0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310400"/>
    <w:pPr>
      <w:tabs>
        <w:tab w:val="center" w:pos="4536"/>
        <w:tab w:val="right" w:pos="9072"/>
      </w:tabs>
      <w:spacing w:after="0" w:line="240" w:lineRule="auto"/>
    </w:pPr>
  </w:style>
  <w:style w:type="character" w:customStyle="1" w:styleId="lfejChar">
    <w:name w:val="Élőfej Char"/>
    <w:basedOn w:val="Bekezdsalapbettpusa"/>
    <w:link w:val="lfej"/>
    <w:uiPriority w:val="99"/>
    <w:rsid w:val="00310400"/>
  </w:style>
  <w:style w:type="paragraph" w:styleId="llb">
    <w:name w:val="footer"/>
    <w:basedOn w:val="Norml"/>
    <w:link w:val="llbChar"/>
    <w:uiPriority w:val="99"/>
    <w:unhideWhenUsed/>
    <w:rsid w:val="00310400"/>
    <w:pPr>
      <w:tabs>
        <w:tab w:val="center" w:pos="4536"/>
        <w:tab w:val="right" w:pos="9072"/>
      </w:tabs>
      <w:spacing w:after="0" w:line="240" w:lineRule="auto"/>
    </w:pPr>
  </w:style>
  <w:style w:type="character" w:customStyle="1" w:styleId="llbChar">
    <w:name w:val="Élőláb Char"/>
    <w:basedOn w:val="Bekezdsalapbettpusa"/>
    <w:link w:val="llb"/>
    <w:uiPriority w:val="99"/>
    <w:rsid w:val="00310400"/>
  </w:style>
  <w:style w:type="paragraph" w:styleId="Listaszerbekezds">
    <w:name w:val="List Paragraph"/>
    <w:aliases w:val="List Paragraph à moi,lista_2,Számozott lista 1,Eszeri felsorolás,Listaszerű bekezdés1,List Paragraph1,Welt L Char,Welt L,Bullet List,FooterText,numbered,Paragraphe de liste1,Bulletr List Paragraph,列出段落,列出段落1,Listeafsnit1,リスト段落1,LISTA"/>
    <w:basedOn w:val="Norml"/>
    <w:link w:val="ListaszerbekezdsChar"/>
    <w:uiPriority w:val="34"/>
    <w:qFormat/>
    <w:rsid w:val="00396EFB"/>
    <w:pPr>
      <w:spacing w:before="100" w:beforeAutospacing="1" w:after="100" w:afterAutospacing="1" w:line="240" w:lineRule="auto"/>
      <w:ind w:left="720"/>
      <w:contextualSpacing/>
      <w:jc w:val="both"/>
    </w:pPr>
  </w:style>
  <w:style w:type="character" w:customStyle="1" w:styleId="ListaszerbekezdsChar">
    <w:name w:val="Listaszerű bekezdés Char"/>
    <w:aliases w:val="List Paragraph à moi Char,lista_2 Char,Számozott lista 1 Char,Eszeri felsorolás Char,Listaszerű bekezdés1 Char,List Paragraph1 Char,Welt L Char Char,Welt L Char1,Bullet List Char,FooterText Char,numbered Char,列出段落 Char"/>
    <w:link w:val="Listaszerbekezds"/>
    <w:uiPriority w:val="34"/>
    <w:qFormat/>
    <w:locked/>
    <w:rsid w:val="00396EFB"/>
  </w:style>
  <w:style w:type="character" w:styleId="Jegyzethivatkozs">
    <w:name w:val="annotation reference"/>
    <w:basedOn w:val="Bekezdsalapbettpusa"/>
    <w:uiPriority w:val="99"/>
    <w:semiHidden/>
    <w:unhideWhenUsed/>
    <w:rsid w:val="00227072"/>
    <w:rPr>
      <w:sz w:val="16"/>
      <w:szCs w:val="16"/>
    </w:rPr>
  </w:style>
  <w:style w:type="paragraph" w:styleId="Jegyzetszveg">
    <w:name w:val="annotation text"/>
    <w:basedOn w:val="Norml"/>
    <w:link w:val="JegyzetszvegChar"/>
    <w:uiPriority w:val="99"/>
    <w:semiHidden/>
    <w:unhideWhenUsed/>
    <w:rsid w:val="00227072"/>
    <w:pPr>
      <w:spacing w:line="240" w:lineRule="auto"/>
    </w:pPr>
    <w:rPr>
      <w:sz w:val="20"/>
      <w:szCs w:val="20"/>
    </w:rPr>
  </w:style>
  <w:style w:type="character" w:customStyle="1" w:styleId="JegyzetszvegChar">
    <w:name w:val="Jegyzetszöveg Char"/>
    <w:basedOn w:val="Bekezdsalapbettpusa"/>
    <w:link w:val="Jegyzetszveg"/>
    <w:uiPriority w:val="99"/>
    <w:semiHidden/>
    <w:rsid w:val="00227072"/>
    <w:rPr>
      <w:sz w:val="20"/>
      <w:szCs w:val="20"/>
    </w:rPr>
  </w:style>
  <w:style w:type="paragraph" w:styleId="Megjegyzstrgya">
    <w:name w:val="annotation subject"/>
    <w:basedOn w:val="Jegyzetszveg"/>
    <w:next w:val="Jegyzetszveg"/>
    <w:link w:val="MegjegyzstrgyaChar"/>
    <w:uiPriority w:val="99"/>
    <w:semiHidden/>
    <w:unhideWhenUsed/>
    <w:rsid w:val="00227072"/>
    <w:rPr>
      <w:b/>
      <w:bCs/>
    </w:rPr>
  </w:style>
  <w:style w:type="character" w:customStyle="1" w:styleId="MegjegyzstrgyaChar">
    <w:name w:val="Megjegyzés tárgya Char"/>
    <w:basedOn w:val="JegyzetszvegChar"/>
    <w:link w:val="Megjegyzstrgya"/>
    <w:uiPriority w:val="99"/>
    <w:semiHidden/>
    <w:rsid w:val="00227072"/>
    <w:rPr>
      <w:b/>
      <w:bCs/>
      <w:sz w:val="20"/>
      <w:szCs w:val="20"/>
    </w:rPr>
  </w:style>
  <w:style w:type="paragraph" w:styleId="Buborkszveg">
    <w:name w:val="Balloon Text"/>
    <w:basedOn w:val="Norml"/>
    <w:link w:val="BuborkszvegChar"/>
    <w:uiPriority w:val="99"/>
    <w:semiHidden/>
    <w:unhideWhenUsed/>
    <w:rsid w:val="00227072"/>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27072"/>
    <w:rPr>
      <w:rFonts w:ascii="Segoe UI" w:hAnsi="Segoe UI" w:cs="Segoe UI"/>
      <w:sz w:val="18"/>
      <w:szCs w:val="18"/>
    </w:rPr>
  </w:style>
  <w:style w:type="paragraph" w:styleId="NormlWeb">
    <w:name w:val="Normal (Web)"/>
    <w:basedOn w:val="Norml"/>
    <w:rsid w:val="00843BDE"/>
    <w:pPr>
      <w:spacing w:before="100" w:beforeAutospacing="1" w:after="100" w:afterAutospacing="1" w:line="240" w:lineRule="auto"/>
    </w:pPr>
    <w:rPr>
      <w:rFonts w:ascii="Times New Roman" w:eastAsia="Times New Roman" w:hAnsi="Times New Roman" w:cs="Times New Roman"/>
      <w:color w:val="844142"/>
      <w:sz w:val="24"/>
      <w:szCs w:val="24"/>
      <w:lang w:eastAsia="hu-HU"/>
    </w:rPr>
  </w:style>
  <w:style w:type="character" w:styleId="Hiperhivatkozs">
    <w:name w:val="Hyperlink"/>
    <w:basedOn w:val="Bekezdsalapbettpusa"/>
    <w:uiPriority w:val="99"/>
    <w:unhideWhenUsed/>
    <w:rsid w:val="00670C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fsz.munka.hu" TargetMode="External"/><Relationship Id="rId3" Type="http://schemas.openxmlformats.org/officeDocument/2006/relationships/settings" Target="settings.xml"/><Relationship Id="rId7" Type="http://schemas.openxmlformats.org/officeDocument/2006/relationships/hyperlink" Target="http://nograd.munka.hu/engine.aspx?page=nograd_meropiaciprogramok_top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598</Words>
  <Characters>4134</Characters>
  <Application>Microsoft Office Word</Application>
  <DocSecurity>0</DocSecurity>
  <Lines>34</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Földiné Baksa Beatrix</dc:creator>
  <cp:keywords/>
  <dc:description/>
  <cp:lastModifiedBy>Földiné Baksa Beatrix</cp:lastModifiedBy>
  <cp:revision>29</cp:revision>
  <dcterms:created xsi:type="dcterms:W3CDTF">2022-12-12T06:54:00Z</dcterms:created>
  <dcterms:modified xsi:type="dcterms:W3CDTF">2024-06-24T13:50:00Z</dcterms:modified>
</cp:coreProperties>
</file>